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A20" w:rsidRPr="00DF2717" w:rsidRDefault="00EF3A20" w:rsidP="00EF3A20">
      <w:pPr>
        <w:jc w:val="left"/>
        <w:rPr>
          <w:rFonts w:cs="Times New Roman"/>
          <w:b/>
          <w:color w:val="FF0000"/>
          <w:sz w:val="32"/>
          <w:szCs w:val="32"/>
        </w:rPr>
      </w:pPr>
    </w:p>
    <w:p w:rsidR="00694E24" w:rsidRPr="008B3198" w:rsidRDefault="001E7339" w:rsidP="00694E24">
      <w:pPr>
        <w:jc w:val="center"/>
        <w:rPr>
          <w:b/>
          <w:szCs w:val="28"/>
        </w:rPr>
      </w:pPr>
      <w:r w:rsidRPr="001E7339">
        <w:rPr>
          <w:b/>
          <w:szCs w:val="28"/>
        </w:rPr>
        <w:t>E-</w:t>
      </w:r>
      <w:r>
        <w:rPr>
          <w:b/>
          <w:szCs w:val="28"/>
        </w:rPr>
        <w:t>konkursu apakšsistēmā dokumenta nosūtīšana</w:t>
      </w:r>
      <w:r w:rsidRPr="001E7339">
        <w:rPr>
          <w:b/>
          <w:szCs w:val="28"/>
        </w:rPr>
        <w:t xml:space="preserve"> uz E-adresi</w:t>
      </w:r>
    </w:p>
    <w:p w:rsidR="00694E24" w:rsidRPr="001E7339" w:rsidRDefault="00694E24" w:rsidP="00694E24">
      <w:pPr>
        <w:jc w:val="center"/>
        <w:rPr>
          <w:rFonts w:cs="Times New Roman"/>
          <w:i/>
          <w:color w:val="FF0000"/>
          <w:sz w:val="32"/>
          <w:szCs w:val="32"/>
        </w:rPr>
      </w:pPr>
      <w:r w:rsidRPr="00DF72FE">
        <w:rPr>
          <w:i/>
          <w:szCs w:val="28"/>
        </w:rPr>
        <w:t xml:space="preserve">(nepieciešamās </w:t>
      </w:r>
      <w:r w:rsidRPr="00694E24">
        <w:rPr>
          <w:i/>
          <w:szCs w:val="28"/>
        </w:rPr>
        <w:t xml:space="preserve">darbības pasūtītājiem, lai </w:t>
      </w:r>
      <w:r w:rsidR="001E7339">
        <w:rPr>
          <w:i/>
          <w:szCs w:val="28"/>
        </w:rPr>
        <w:t xml:space="preserve">dokumentu </w:t>
      </w:r>
      <w:r w:rsidR="001E7339" w:rsidRPr="001E7339">
        <w:rPr>
          <w:i/>
          <w:szCs w:val="28"/>
        </w:rPr>
        <w:t>nosūtītu</w:t>
      </w:r>
      <w:r w:rsidR="00036294" w:rsidRPr="001E7339">
        <w:rPr>
          <w:i/>
          <w:szCs w:val="28"/>
        </w:rPr>
        <w:t xml:space="preserve"> </w:t>
      </w:r>
      <w:r w:rsidR="001E7339" w:rsidRPr="001E7339">
        <w:rPr>
          <w:i/>
          <w:szCs w:val="28"/>
        </w:rPr>
        <w:t>uz E-adresi</w:t>
      </w:r>
      <w:r w:rsidRPr="001E7339">
        <w:rPr>
          <w:i/>
          <w:szCs w:val="28"/>
        </w:rPr>
        <w:t>)</w:t>
      </w:r>
    </w:p>
    <w:p w:rsidR="008B3198" w:rsidRDefault="008B3198" w:rsidP="008B3198">
      <w:pPr>
        <w:spacing w:before="120"/>
        <w:ind w:left="284" w:hanging="284"/>
        <w:rPr>
          <w:color w:val="2E74B5" w:themeColor="accent1" w:themeShade="BF"/>
          <w:sz w:val="20"/>
          <w:szCs w:val="20"/>
        </w:rPr>
      </w:pPr>
      <w:r w:rsidRPr="008938CC">
        <w:rPr>
          <w:color w:val="2E74B5" w:themeColor="accent1" w:themeShade="BF"/>
          <w:sz w:val="20"/>
          <w:szCs w:val="20"/>
        </w:rPr>
        <w:sym w:font="Webdings" w:char="F069"/>
      </w:r>
      <w:r w:rsidRPr="008938CC">
        <w:rPr>
          <w:color w:val="2E74B5" w:themeColor="accent1" w:themeShade="BF"/>
          <w:sz w:val="20"/>
          <w:szCs w:val="20"/>
        </w:rPr>
        <w:t xml:space="preserve"> </w:t>
      </w:r>
      <w:r>
        <w:rPr>
          <w:color w:val="2E74B5" w:themeColor="accent1" w:themeShade="BF"/>
          <w:sz w:val="20"/>
          <w:szCs w:val="20"/>
        </w:rPr>
        <w:tab/>
        <w:t xml:space="preserve">Dokuments sagatavots ar izvēršamiem blokiem (bloki izvēršami vai savēršami spiežot uz </w:t>
      </w:r>
      <w:r w:rsidRPr="008A41AC">
        <w:rPr>
          <w:color w:val="2E74B5" w:themeColor="accent1" w:themeShade="BF"/>
          <w:sz w:val="20"/>
          <w:szCs w:val="20"/>
        </w:rPr>
        <w:sym w:font="Wingdings 3" w:char="F07D"/>
      </w:r>
      <w:r w:rsidRPr="008A41AC">
        <w:rPr>
          <w:color w:val="2E74B5" w:themeColor="accent1" w:themeShade="BF"/>
          <w:sz w:val="20"/>
          <w:szCs w:val="20"/>
        </w:rPr>
        <w:t xml:space="preserve"> </w:t>
      </w:r>
      <w:r>
        <w:rPr>
          <w:color w:val="2E74B5" w:themeColor="accent1" w:themeShade="BF"/>
          <w:sz w:val="20"/>
          <w:szCs w:val="20"/>
        </w:rPr>
        <w:t>simbola</w:t>
      </w:r>
      <w:r w:rsidRPr="00F436C2">
        <w:rPr>
          <w:color w:val="2E74B5" w:themeColor="accent1" w:themeShade="BF"/>
          <w:sz w:val="20"/>
          <w:szCs w:val="20"/>
        </w:rPr>
        <w:t>)</w:t>
      </w:r>
      <w:r>
        <w:rPr>
          <w:color w:val="2E74B5" w:themeColor="accent1" w:themeShade="BF"/>
          <w:sz w:val="20"/>
          <w:szCs w:val="20"/>
        </w:rPr>
        <w:t xml:space="preserve">, funkcionalitāte pieejama </w:t>
      </w:r>
      <w:r w:rsidRPr="008A41AC">
        <w:rPr>
          <w:color w:val="2E74B5" w:themeColor="accent1" w:themeShade="BF"/>
          <w:sz w:val="20"/>
          <w:szCs w:val="20"/>
        </w:rPr>
        <w:t>MS Word 2013</w:t>
      </w:r>
      <w:r>
        <w:rPr>
          <w:color w:val="2E74B5" w:themeColor="accent1" w:themeShade="BF"/>
          <w:sz w:val="20"/>
          <w:szCs w:val="20"/>
        </w:rPr>
        <w:t xml:space="preserve"> vai vēlākam versijām (agrākām </w:t>
      </w:r>
      <w:r w:rsidRPr="008A41AC">
        <w:rPr>
          <w:color w:val="2E74B5" w:themeColor="accent1" w:themeShade="BF"/>
          <w:sz w:val="20"/>
          <w:szCs w:val="20"/>
        </w:rPr>
        <w:t xml:space="preserve">MS Word </w:t>
      </w:r>
      <w:r>
        <w:rPr>
          <w:color w:val="2E74B5" w:themeColor="accent1" w:themeShade="BF"/>
          <w:sz w:val="20"/>
          <w:szCs w:val="20"/>
        </w:rPr>
        <w:t>versijām bloki vienmēr ir izvērsti un nav savēršami).</w:t>
      </w:r>
    </w:p>
    <w:p w:rsidR="00D523E4" w:rsidRPr="00F85BC3" w:rsidRDefault="00D523E4" w:rsidP="00931D19">
      <w:pPr>
        <w:pStyle w:val="Heading1"/>
        <w:numPr>
          <w:ilvl w:val="0"/>
          <w:numId w:val="2"/>
        </w:numPr>
        <w:ind w:left="426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Priekšnoteikumi</w:t>
      </w:r>
      <w:r w:rsidRPr="001E7339">
        <w:rPr>
          <w:rFonts w:ascii="Times New Roman" w:hAnsi="Times New Roman" w:cs="Times New Roman"/>
          <w:b/>
          <w:sz w:val="24"/>
          <w:szCs w:val="24"/>
        </w:rPr>
        <w:t xml:space="preserve"> E-adres</w:t>
      </w:r>
      <w:r>
        <w:rPr>
          <w:rFonts w:ascii="Times New Roman" w:hAnsi="Times New Roman" w:cs="Times New Roman"/>
          <w:b/>
          <w:sz w:val="24"/>
          <w:szCs w:val="24"/>
        </w:rPr>
        <w:t>es izmantošanai Elektronisko iepirkumu sistēmā</w:t>
      </w:r>
    </w:p>
    <w:p w:rsidR="00D523E4" w:rsidRDefault="00D523E4" w:rsidP="00D523E4">
      <w:pPr>
        <w:pStyle w:val="Heading2"/>
        <w:numPr>
          <w:ilvl w:val="1"/>
          <w:numId w:val="2"/>
        </w:numPr>
        <w:spacing w:before="60"/>
        <w:ind w:left="992" w:hanging="567"/>
        <w15:collapsed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>Pasūtītājam vai Piegādātājam (pretendentam) ir reģistrēta E-adrese un E-adreses konts ir aktivizēts. Privātpersonam un juridiskām personām,</w:t>
      </w:r>
      <w:r w:rsidRPr="000A0836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l</w:t>
      </w:r>
      <w:r w:rsidRPr="000A0836">
        <w:rPr>
          <w:rFonts w:ascii="Times New Roman" w:hAnsi="Times New Roman" w:cs="Times New Roman"/>
          <w:bCs/>
          <w:color w:val="auto"/>
          <w:sz w:val="24"/>
          <w:szCs w:val="24"/>
        </w:rPr>
        <w:t>ai izveidotu e-adresi, portālā Latvija.lv ir jāpiesakās tās izveidei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,</w:t>
      </w:r>
      <w:r w:rsidRPr="000A0836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izmantojot tam paredzētu speciālu </w:t>
      </w:r>
      <w:hyperlink r:id="rId7" w:history="1">
        <w:r w:rsidRPr="000A0836">
          <w:rPr>
            <w:rFonts w:ascii="Times New Roman" w:hAnsi="Times New Roman" w:cs="Times New Roman"/>
            <w:bCs/>
            <w:color w:val="0070C0"/>
            <w:sz w:val="24"/>
            <w:szCs w:val="24"/>
            <w:u w:val="single"/>
          </w:rPr>
          <w:t>formu</w:t>
        </w:r>
      </w:hyperlink>
      <w:r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</w:p>
    <w:p w:rsidR="00277227" w:rsidRDefault="00D523E4" w:rsidP="00D523E4">
      <w:pPr>
        <w:pStyle w:val="Heading2"/>
        <w:numPr>
          <w:ilvl w:val="1"/>
          <w:numId w:val="2"/>
        </w:numPr>
        <w:spacing w:before="60"/>
        <w:ind w:left="992" w:hanging="567"/>
        <w15:collapsed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2A0A6E">
        <w:rPr>
          <w:rFonts w:ascii="Times New Roman" w:hAnsi="Times New Roman" w:cs="Times New Roman"/>
          <w:bCs/>
          <w:color w:val="auto"/>
          <w:sz w:val="24"/>
          <w:szCs w:val="24"/>
        </w:rPr>
        <w:t>Elektronisko iepirkumu sistēmā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attiecīgās organizācijas profilā ir norādīta E-adrese. </w:t>
      </w:r>
    </w:p>
    <w:p w:rsidR="00277227" w:rsidRDefault="005E6A6C" w:rsidP="00704F78">
      <w:pPr>
        <w:ind w:left="993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noProof/>
          <w:sz w:val="24"/>
          <w:szCs w:val="24"/>
          <w:lang w:eastAsia="lv-LV" w:bidi="lo-LA"/>
        </w:rPr>
        <w:drawing>
          <wp:inline distT="0" distB="0" distL="0" distR="0">
            <wp:extent cx="5524500" cy="3657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3E4" w:rsidRPr="00D26714" w:rsidRDefault="00D523E4" w:rsidP="00D26714">
      <w:pPr>
        <w:ind w:left="993"/>
        <w:rPr>
          <w:rFonts w:eastAsiaTheme="majorEastAsia" w:cs="Times New Roman"/>
          <w:bCs/>
          <w:sz w:val="24"/>
          <w:szCs w:val="24"/>
        </w:rPr>
      </w:pPr>
      <w:r w:rsidRPr="00D26714">
        <w:rPr>
          <w:rFonts w:eastAsiaTheme="majorEastAsia" w:cs="Times New Roman"/>
          <w:bCs/>
          <w:sz w:val="24"/>
          <w:szCs w:val="24"/>
        </w:rPr>
        <w:t>Ja organizācija dokumentu saņemšanai izmanto kādu Dokumentu vadības sistēmu/Lietvedības sistēmu, organizācijas profilā var norādīt sistēmai piešķirto tehn</w:t>
      </w:r>
      <w:r w:rsidR="00536F37" w:rsidRPr="00D26714">
        <w:rPr>
          <w:rFonts w:eastAsiaTheme="majorEastAsia" w:cs="Times New Roman"/>
          <w:bCs/>
          <w:sz w:val="24"/>
          <w:szCs w:val="24"/>
        </w:rPr>
        <w:t>isko</w:t>
      </w:r>
      <w:r w:rsidRPr="00D26714">
        <w:rPr>
          <w:rFonts w:eastAsiaTheme="majorEastAsia" w:cs="Times New Roman"/>
          <w:bCs/>
          <w:sz w:val="24"/>
          <w:szCs w:val="24"/>
        </w:rPr>
        <w:t xml:space="preserve"> E-adresi.</w:t>
      </w:r>
    </w:p>
    <w:p w:rsidR="009B1B4C" w:rsidRPr="00F85BC3" w:rsidRDefault="001E7339" w:rsidP="00931D19">
      <w:pPr>
        <w:pStyle w:val="Heading1"/>
        <w:numPr>
          <w:ilvl w:val="0"/>
          <w:numId w:val="2"/>
        </w:numPr>
        <w:ind w:left="426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1E7339">
        <w:rPr>
          <w:rFonts w:ascii="Times New Roman" w:hAnsi="Times New Roman" w:cs="Times New Roman"/>
          <w:b/>
          <w:sz w:val="24"/>
          <w:szCs w:val="24"/>
        </w:rPr>
        <w:t>okumenta nosūtīšana uz E-adresi</w:t>
      </w:r>
    </w:p>
    <w:p w:rsidR="0097078C" w:rsidRDefault="00F05994" w:rsidP="0097078C">
      <w:pPr>
        <w:pStyle w:val="Heading2"/>
        <w:numPr>
          <w:ilvl w:val="1"/>
          <w:numId w:val="2"/>
        </w:numPr>
        <w:spacing w:before="60"/>
        <w:ind w:left="992" w:hanging="567"/>
        <w15:collapsed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F0599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E-konkursu apakšsistēmā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ir </w:t>
      </w:r>
      <w:r w:rsidRPr="00F0599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nodrošināta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iespēja</w:t>
      </w:r>
      <w:r w:rsidRPr="00F0599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nosūtī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t</w:t>
      </w:r>
      <w:r w:rsidR="0097078C">
        <w:rPr>
          <w:rFonts w:ascii="Times New Roman" w:hAnsi="Times New Roman" w:cs="Times New Roman"/>
          <w:bCs/>
          <w:color w:val="auto"/>
          <w:sz w:val="24"/>
          <w:szCs w:val="24"/>
        </w:rPr>
        <w:t>/pārsūtīt</w:t>
      </w:r>
      <w:r w:rsidRPr="00F0599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uz E-adresi </w:t>
      </w:r>
      <w:r w:rsidR="00E2728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sistēmā esošos </w:t>
      </w:r>
      <w:r w:rsidRPr="00F05994">
        <w:rPr>
          <w:rFonts w:ascii="Times New Roman" w:hAnsi="Times New Roman" w:cs="Times New Roman"/>
          <w:bCs/>
          <w:color w:val="auto"/>
          <w:sz w:val="24"/>
          <w:szCs w:val="24"/>
        </w:rPr>
        <w:t>doku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me</w:t>
      </w:r>
      <w:r w:rsidRPr="00F05994">
        <w:rPr>
          <w:rFonts w:ascii="Times New Roman" w:hAnsi="Times New Roman" w:cs="Times New Roman"/>
          <w:bCs/>
          <w:color w:val="auto"/>
          <w:sz w:val="24"/>
          <w:szCs w:val="24"/>
        </w:rPr>
        <w:t>ntu</w:t>
      </w:r>
      <w:r w:rsidR="00E2728E">
        <w:rPr>
          <w:rFonts w:ascii="Times New Roman" w:hAnsi="Times New Roman" w:cs="Times New Roman"/>
          <w:bCs/>
          <w:color w:val="auto"/>
          <w:sz w:val="24"/>
          <w:szCs w:val="24"/>
        </w:rPr>
        <w:t>s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:</w:t>
      </w:r>
      <w:r w:rsidRPr="00F0599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</w:p>
    <w:p w:rsidR="0097078C" w:rsidRDefault="00F05994" w:rsidP="0097078C">
      <w:pPr>
        <w:pStyle w:val="ListParagraph"/>
        <w:numPr>
          <w:ilvl w:val="0"/>
          <w:numId w:val="4"/>
        </w:numPr>
        <w:ind w:left="1560" w:hanging="284"/>
        <w:rPr>
          <w:sz w:val="24"/>
          <w:szCs w:val="24"/>
        </w:rPr>
      </w:pPr>
      <w:r w:rsidRPr="0097078C">
        <w:rPr>
          <w:rFonts w:eastAsiaTheme="majorEastAsia"/>
          <w:sz w:val="24"/>
          <w:szCs w:val="24"/>
        </w:rPr>
        <w:t>p</w:t>
      </w:r>
      <w:r w:rsidRPr="0097078C">
        <w:rPr>
          <w:sz w:val="24"/>
          <w:szCs w:val="24"/>
        </w:rPr>
        <w:t>retendentu jautājumi,</w:t>
      </w:r>
    </w:p>
    <w:p w:rsidR="0097078C" w:rsidRDefault="00F05994" w:rsidP="0097078C">
      <w:pPr>
        <w:pStyle w:val="ListParagraph"/>
        <w:numPr>
          <w:ilvl w:val="0"/>
          <w:numId w:val="4"/>
        </w:numPr>
        <w:ind w:left="1560" w:hanging="284"/>
        <w:rPr>
          <w:sz w:val="24"/>
          <w:szCs w:val="24"/>
        </w:rPr>
      </w:pPr>
      <w:r w:rsidRPr="0097078C">
        <w:rPr>
          <w:sz w:val="24"/>
          <w:szCs w:val="24"/>
        </w:rPr>
        <w:t>komisijas atbildes un skaidrojumi,</w:t>
      </w:r>
    </w:p>
    <w:p w:rsidR="0097078C" w:rsidRDefault="00CF31E7" w:rsidP="0097078C">
      <w:pPr>
        <w:pStyle w:val="ListParagraph"/>
        <w:numPr>
          <w:ilvl w:val="0"/>
          <w:numId w:val="4"/>
        </w:numPr>
        <w:ind w:left="1560" w:hanging="284"/>
        <w:rPr>
          <w:sz w:val="24"/>
          <w:szCs w:val="24"/>
        </w:rPr>
      </w:pPr>
      <w:r w:rsidRPr="0097078C">
        <w:rPr>
          <w:sz w:val="24"/>
          <w:szCs w:val="24"/>
        </w:rPr>
        <w:t>jautājumi/paziņojumi pretendentiem,</w:t>
      </w:r>
    </w:p>
    <w:p w:rsidR="0097078C" w:rsidRDefault="00CF31E7" w:rsidP="0097078C">
      <w:pPr>
        <w:pStyle w:val="ListParagraph"/>
        <w:numPr>
          <w:ilvl w:val="0"/>
          <w:numId w:val="4"/>
        </w:numPr>
        <w:ind w:left="1560" w:hanging="284"/>
        <w:rPr>
          <w:sz w:val="24"/>
          <w:szCs w:val="24"/>
        </w:rPr>
      </w:pPr>
      <w:r w:rsidRPr="0097078C">
        <w:rPr>
          <w:sz w:val="24"/>
          <w:szCs w:val="24"/>
        </w:rPr>
        <w:t>pretendentu skaidrojumi,</w:t>
      </w:r>
    </w:p>
    <w:p w:rsidR="0097078C" w:rsidRDefault="00CF31E7" w:rsidP="0097078C">
      <w:pPr>
        <w:pStyle w:val="ListParagraph"/>
        <w:numPr>
          <w:ilvl w:val="0"/>
          <w:numId w:val="4"/>
        </w:numPr>
        <w:ind w:left="1560" w:hanging="284"/>
        <w:rPr>
          <w:sz w:val="24"/>
          <w:szCs w:val="24"/>
        </w:rPr>
      </w:pPr>
      <w:r w:rsidRPr="0097078C">
        <w:rPr>
          <w:sz w:val="24"/>
          <w:szCs w:val="24"/>
        </w:rPr>
        <w:t>paziņojumi par aritmētisko kļūdu labojumiem,</w:t>
      </w:r>
    </w:p>
    <w:p w:rsidR="0097078C" w:rsidRDefault="00B22C0B" w:rsidP="0097078C">
      <w:pPr>
        <w:pStyle w:val="ListParagraph"/>
        <w:numPr>
          <w:ilvl w:val="0"/>
          <w:numId w:val="4"/>
        </w:numPr>
        <w:ind w:left="1560" w:hanging="284"/>
        <w:rPr>
          <w:sz w:val="24"/>
          <w:szCs w:val="24"/>
        </w:rPr>
      </w:pPr>
      <w:r w:rsidRPr="0097078C">
        <w:rPr>
          <w:sz w:val="24"/>
          <w:szCs w:val="24"/>
        </w:rPr>
        <w:t>atbildes par aritmētisko kļūdu labojumiem,</w:t>
      </w:r>
    </w:p>
    <w:p w:rsidR="0097078C" w:rsidRDefault="0097078C" w:rsidP="0097078C">
      <w:pPr>
        <w:pStyle w:val="ListParagraph"/>
        <w:numPr>
          <w:ilvl w:val="0"/>
          <w:numId w:val="4"/>
        </w:numPr>
        <w:ind w:left="1560" w:hanging="284"/>
        <w:rPr>
          <w:sz w:val="24"/>
          <w:szCs w:val="24"/>
        </w:rPr>
      </w:pPr>
      <w:r w:rsidRPr="0097078C">
        <w:rPr>
          <w:sz w:val="24"/>
          <w:szCs w:val="24"/>
        </w:rPr>
        <w:t>rezultātu paziņojumi pretendentiem,</w:t>
      </w:r>
    </w:p>
    <w:p w:rsidR="0097078C" w:rsidRDefault="0097078C" w:rsidP="0097078C">
      <w:pPr>
        <w:pStyle w:val="ListParagraph"/>
        <w:numPr>
          <w:ilvl w:val="0"/>
          <w:numId w:val="4"/>
        </w:numPr>
        <w:ind w:left="1560" w:hanging="284"/>
        <w:rPr>
          <w:sz w:val="24"/>
          <w:szCs w:val="24"/>
        </w:rPr>
      </w:pPr>
      <w:r w:rsidRPr="0097078C">
        <w:rPr>
          <w:sz w:val="24"/>
          <w:szCs w:val="24"/>
        </w:rPr>
        <w:t>līgumi, sūdzības,</w:t>
      </w:r>
    </w:p>
    <w:p w:rsidR="0097078C" w:rsidRDefault="0097078C" w:rsidP="0097078C">
      <w:pPr>
        <w:pStyle w:val="ListParagraph"/>
        <w:numPr>
          <w:ilvl w:val="0"/>
          <w:numId w:val="4"/>
        </w:numPr>
        <w:ind w:left="1560" w:hanging="284"/>
        <w:rPr>
          <w:sz w:val="24"/>
          <w:szCs w:val="24"/>
        </w:rPr>
      </w:pPr>
      <w:r w:rsidRPr="0097078C">
        <w:rPr>
          <w:sz w:val="24"/>
          <w:szCs w:val="24"/>
        </w:rPr>
        <w:t>kontrolējošās institūcijas informācijas pieprasījumi,</w:t>
      </w:r>
    </w:p>
    <w:p w:rsidR="0097078C" w:rsidRPr="0097078C" w:rsidRDefault="0097078C" w:rsidP="0097078C">
      <w:pPr>
        <w:pStyle w:val="ListParagraph"/>
        <w:numPr>
          <w:ilvl w:val="0"/>
          <w:numId w:val="4"/>
        </w:numPr>
        <w:ind w:left="1560" w:hanging="284"/>
        <w:rPr>
          <w:sz w:val="24"/>
          <w:szCs w:val="24"/>
        </w:rPr>
      </w:pPr>
      <w:r w:rsidRPr="0097078C">
        <w:rPr>
          <w:sz w:val="24"/>
          <w:szCs w:val="24"/>
        </w:rPr>
        <w:t>komisijas atbildes kontrolējošo institūciju informācijas pieprasījumiem</w:t>
      </w:r>
      <w:r>
        <w:rPr>
          <w:sz w:val="24"/>
          <w:szCs w:val="24"/>
        </w:rPr>
        <w:t>.</w:t>
      </w:r>
    </w:p>
    <w:p w:rsidR="0097078C" w:rsidRDefault="009B24DF" w:rsidP="0097078C">
      <w:pPr>
        <w:pStyle w:val="Heading2"/>
        <w:numPr>
          <w:ilvl w:val="1"/>
          <w:numId w:val="2"/>
        </w:numPr>
        <w:spacing w:before="60"/>
        <w:ind w:left="992" w:hanging="567"/>
        <w15:collapsed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Lai EIS </w:t>
      </w:r>
      <w:r w:rsidR="007F6EBC">
        <w:rPr>
          <w:rFonts w:ascii="Times New Roman" w:hAnsi="Times New Roman" w:cs="Times New Roman"/>
          <w:color w:val="auto"/>
          <w:sz w:val="24"/>
          <w:szCs w:val="24"/>
        </w:rPr>
        <w:t xml:space="preserve">jau </w:t>
      </w:r>
      <w:r>
        <w:rPr>
          <w:rFonts w:ascii="Times New Roman" w:hAnsi="Times New Roman" w:cs="Times New Roman"/>
          <w:color w:val="auto"/>
          <w:sz w:val="24"/>
          <w:szCs w:val="24"/>
        </w:rPr>
        <w:t>nosūtītu vai publicētu</w:t>
      </w:r>
      <w:r w:rsidR="00106537">
        <w:rPr>
          <w:rFonts w:ascii="Times New Roman" w:hAnsi="Times New Roman" w:cs="Times New Roman"/>
          <w:color w:val="auto"/>
          <w:sz w:val="24"/>
          <w:szCs w:val="24"/>
        </w:rPr>
        <w:t xml:space="preserve"> dokumentu</w:t>
      </w:r>
      <w:r w:rsidR="007F6EBC">
        <w:rPr>
          <w:rFonts w:ascii="Times New Roman" w:hAnsi="Times New Roman" w:cs="Times New Roman"/>
          <w:color w:val="auto"/>
          <w:sz w:val="24"/>
          <w:szCs w:val="24"/>
        </w:rPr>
        <w:t xml:space="preserve"> (dokumenta statuss </w:t>
      </w:r>
      <w:r w:rsidR="007F6EBC" w:rsidRPr="007F6EBC">
        <w:rPr>
          <w:rFonts w:ascii="Times New Roman" w:hAnsi="Times New Roman" w:cs="Times New Roman"/>
          <w:i/>
          <w:iCs/>
          <w:color w:val="auto"/>
          <w:sz w:val="24"/>
          <w:szCs w:val="24"/>
        </w:rPr>
        <w:t>Reģistrēts</w:t>
      </w:r>
      <w:r w:rsidR="007F6EBC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106537">
        <w:rPr>
          <w:rFonts w:ascii="Times New Roman" w:hAnsi="Times New Roman" w:cs="Times New Roman"/>
          <w:color w:val="auto"/>
          <w:sz w:val="24"/>
          <w:szCs w:val="24"/>
        </w:rPr>
        <w:t xml:space="preserve"> nosūtīt</w:t>
      </w:r>
      <w:r w:rsidR="00A9369B">
        <w:rPr>
          <w:rFonts w:ascii="Times New Roman" w:hAnsi="Times New Roman" w:cs="Times New Roman"/>
          <w:color w:val="auto"/>
          <w:sz w:val="24"/>
          <w:szCs w:val="24"/>
        </w:rPr>
        <w:t>u</w:t>
      </w:r>
      <w:r>
        <w:rPr>
          <w:rFonts w:ascii="Times New Roman" w:hAnsi="Times New Roman" w:cs="Times New Roman"/>
          <w:color w:val="auto"/>
          <w:sz w:val="24"/>
          <w:szCs w:val="24"/>
        </w:rPr>
        <w:t>/pārsūtīt</w:t>
      </w:r>
      <w:r w:rsidR="00A9369B">
        <w:rPr>
          <w:rFonts w:ascii="Times New Roman" w:hAnsi="Times New Roman" w:cs="Times New Roman"/>
          <w:color w:val="auto"/>
          <w:sz w:val="24"/>
          <w:szCs w:val="24"/>
        </w:rPr>
        <w:t>u</w:t>
      </w:r>
      <w:r w:rsidR="00106537">
        <w:rPr>
          <w:rFonts w:ascii="Times New Roman" w:hAnsi="Times New Roman" w:cs="Times New Roman"/>
          <w:color w:val="auto"/>
          <w:sz w:val="24"/>
          <w:szCs w:val="24"/>
        </w:rPr>
        <w:t xml:space="preserve"> uz </w:t>
      </w:r>
      <w:r w:rsidR="00106537" w:rsidRPr="00F05994">
        <w:rPr>
          <w:rFonts w:ascii="Times New Roman" w:hAnsi="Times New Roman" w:cs="Times New Roman"/>
          <w:b/>
          <w:color w:val="auto"/>
          <w:sz w:val="24"/>
          <w:szCs w:val="24"/>
        </w:rPr>
        <w:t>E-adresi</w:t>
      </w:r>
      <w:r w:rsidR="00106537" w:rsidRPr="00F05994">
        <w:rPr>
          <w:rFonts w:ascii="Times New Roman" w:hAnsi="Times New Roman" w:cs="Times New Roman"/>
          <w:bCs/>
          <w:color w:val="auto"/>
          <w:sz w:val="24"/>
          <w:szCs w:val="24"/>
        </w:rPr>
        <w:t>,</w:t>
      </w:r>
      <w:r w:rsidR="00106537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="00D817D2" w:rsidRPr="00D817D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šķirkļa „Dokumenti” </w:t>
      </w:r>
      <w:r w:rsidR="00D817D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attiecīgajā </w:t>
      </w:r>
      <w:r w:rsidR="00D817D2" w:rsidRPr="00D817D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izvēršamajā blokā </w:t>
      </w:r>
      <w:r w:rsidR="002100EF">
        <w:rPr>
          <w:rFonts w:ascii="Times New Roman" w:hAnsi="Times New Roman" w:cs="Times New Roman"/>
          <w:bCs/>
          <w:color w:val="auto"/>
          <w:sz w:val="24"/>
          <w:szCs w:val="24"/>
        </w:rPr>
        <w:t>attiecīgajam dokumentam</w:t>
      </w:r>
      <w:r w:rsidR="00D817D2" w:rsidRPr="00D817D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nepieciešams izvēlēties simbolu “</w:t>
      </w:r>
      <w:r w:rsidR="002100EF">
        <w:rPr>
          <w:rFonts w:ascii="Times New Roman" w:hAnsi="Times New Roman" w:cs="Times New Roman"/>
          <w:bCs/>
          <w:color w:val="auto"/>
          <w:sz w:val="24"/>
          <w:szCs w:val="24"/>
        </w:rPr>
        <w:t>Atvērt ierakstu</w:t>
      </w:r>
      <w:r w:rsidR="00D817D2" w:rsidRPr="00D817D2">
        <w:rPr>
          <w:rFonts w:ascii="Times New Roman" w:hAnsi="Times New Roman" w:cs="Times New Roman"/>
          <w:bCs/>
          <w:color w:val="auto"/>
          <w:sz w:val="24"/>
          <w:szCs w:val="24"/>
        </w:rPr>
        <w:t>”</w:t>
      </w:r>
      <w:r w:rsidR="00E2728E" w:rsidRPr="00E2728E">
        <w:t xml:space="preserve"> </w:t>
      </w:r>
      <w:r w:rsidR="00E2728E" w:rsidRPr="00E2728E">
        <w:rPr>
          <w:rFonts w:ascii="Times New Roman" w:hAnsi="Times New Roman" w:cs="Times New Roman"/>
          <w:bCs/>
          <w:color w:val="auto"/>
          <w:sz w:val="24"/>
          <w:szCs w:val="24"/>
        </w:rPr>
        <w:t>vai simbolu “Apskatīties”</w:t>
      </w:r>
      <w:r w:rsidR="007F6EBC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</w:p>
    <w:p w:rsidR="00F02117" w:rsidRDefault="00F02117" w:rsidP="00E2728E">
      <w:pPr>
        <w:ind w:left="1080"/>
      </w:pPr>
      <w:r>
        <w:rPr>
          <w:noProof/>
          <w:lang w:eastAsia="lv-LV" w:bidi="lo-LA"/>
        </w:rPr>
        <w:drawing>
          <wp:inline distT="0" distB="0" distL="0" distR="0">
            <wp:extent cx="5602885" cy="1161264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7993" cy="1180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B60" w:rsidRDefault="00642B60" w:rsidP="00642B60">
      <w:pPr>
        <w:ind w:left="993"/>
        <w:rPr>
          <w:sz w:val="24"/>
          <w:szCs w:val="24"/>
        </w:rPr>
      </w:pPr>
    </w:p>
    <w:p w:rsidR="00642B60" w:rsidRDefault="00642B60" w:rsidP="00E2728E">
      <w:pPr>
        <w:ind w:left="1080"/>
        <w:rPr>
          <w:sz w:val="24"/>
          <w:szCs w:val="24"/>
        </w:rPr>
      </w:pPr>
      <w:r>
        <w:rPr>
          <w:noProof/>
          <w:sz w:val="24"/>
          <w:szCs w:val="24"/>
          <w:lang w:eastAsia="lv-LV" w:bidi="lo-LA"/>
        </w:rPr>
        <w:drawing>
          <wp:inline distT="0" distB="0" distL="0" distR="0">
            <wp:extent cx="5602885" cy="1415556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453" cy="144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EBC" w:rsidRPr="00642B60" w:rsidRDefault="007F6EBC" w:rsidP="00E2728E">
      <w:pPr>
        <w:ind w:left="1080"/>
        <w:rPr>
          <w:sz w:val="24"/>
          <w:szCs w:val="24"/>
        </w:rPr>
      </w:pPr>
    </w:p>
    <w:p w:rsidR="0097078C" w:rsidRPr="0097078C" w:rsidRDefault="00DF0551" w:rsidP="0097078C">
      <w:pPr>
        <w:pStyle w:val="Heading2"/>
        <w:numPr>
          <w:ilvl w:val="1"/>
          <w:numId w:val="2"/>
        </w:numPr>
        <w:spacing w:before="60"/>
        <w:ind w:left="992" w:hanging="567"/>
        <w15:collapsed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>U</w:t>
      </w:r>
      <w:r w:rsidRPr="00DF0551">
        <w:rPr>
          <w:rFonts w:ascii="Times New Roman" w:hAnsi="Times New Roman" w:cs="Times New Roman"/>
          <w:bCs/>
          <w:color w:val="auto"/>
          <w:sz w:val="24"/>
          <w:szCs w:val="24"/>
        </w:rPr>
        <w:t>znirstošajā logā “Dokumenta uzturēšana”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jāizvēlas darbība “Nosūtīt uz e-adresi”</w:t>
      </w:r>
      <w:r w:rsidR="007F6EBC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</w:p>
    <w:p w:rsidR="00BE5329" w:rsidRPr="00DF0551" w:rsidRDefault="00DF0551" w:rsidP="007F0ABE">
      <w:pPr>
        <w:ind w:left="1080"/>
      </w:pPr>
      <w:r>
        <w:rPr>
          <w:noProof/>
          <w:lang w:eastAsia="lv-LV" w:bidi="lo-LA"/>
        </w:rPr>
        <w:drawing>
          <wp:inline distT="0" distB="0" distL="0" distR="0">
            <wp:extent cx="5583835" cy="2990435"/>
            <wp:effectExtent l="19050" t="19050" r="17145" b="1968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48" cy="299435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25509B" w:rsidRDefault="00D36FB4" w:rsidP="0097078C">
      <w:pPr>
        <w:pStyle w:val="Heading2"/>
        <w:numPr>
          <w:ilvl w:val="1"/>
          <w:numId w:val="2"/>
        </w:numPr>
        <w:spacing w:before="60"/>
        <w:ind w:left="992" w:hanging="567"/>
        <w15:collapsed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D36FB4">
        <w:rPr>
          <w:rFonts w:ascii="Times New Roman" w:hAnsi="Times New Roman" w:cs="Times New Roman"/>
          <w:bCs/>
          <w:color w:val="auto"/>
          <w:sz w:val="24"/>
          <w:szCs w:val="24"/>
        </w:rPr>
        <w:lastRenderedPageBreak/>
        <w:t>Ja adresāts savas organizācijas datos ir norādījis savu e-adresi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,</w:t>
      </w:r>
      <w:r w:rsidRPr="00D36FB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="007B367A" w:rsidRPr="007B367A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tad uznirstošā loga “Dokumenta nosūtīšana uz e-adresi” blokā “Nosūtīšana adresātiem” </w:t>
      </w:r>
      <w:r w:rsidR="007B367A">
        <w:rPr>
          <w:rFonts w:ascii="Times New Roman" w:hAnsi="Times New Roman" w:cs="Times New Roman"/>
          <w:bCs/>
          <w:color w:val="auto"/>
          <w:sz w:val="24"/>
          <w:szCs w:val="24"/>
        </w:rPr>
        <w:t>ir redzams</w:t>
      </w:r>
      <w:r w:rsidR="00A9369B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organizāciju saraksts ar iespēju izvēlēties </w:t>
      </w:r>
      <w:r w:rsidR="007B367A">
        <w:rPr>
          <w:rFonts w:ascii="Times New Roman" w:hAnsi="Times New Roman" w:cs="Times New Roman"/>
          <w:bCs/>
          <w:color w:val="auto"/>
          <w:sz w:val="24"/>
          <w:szCs w:val="24"/>
        </w:rPr>
        <w:t>attiecīgu adresātu, kam</w:t>
      </w:r>
      <w:r w:rsidR="00A9369B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="007B367A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nepieciešams </w:t>
      </w:r>
      <w:r w:rsidR="00A9369B">
        <w:rPr>
          <w:rFonts w:ascii="Times New Roman" w:hAnsi="Times New Roman" w:cs="Times New Roman"/>
          <w:bCs/>
          <w:color w:val="auto"/>
          <w:sz w:val="24"/>
          <w:szCs w:val="24"/>
        </w:rPr>
        <w:t>nosūtīt dokumentu</w:t>
      </w:r>
      <w:r w:rsidR="0025509B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. </w:t>
      </w:r>
    </w:p>
    <w:p w:rsidR="00A9369B" w:rsidRDefault="00D36FB4" w:rsidP="00D36FB4">
      <w:pPr>
        <w:ind w:left="1134"/>
        <w:rPr>
          <w:rFonts w:cs="Times New Roman"/>
          <w:bCs/>
          <w:sz w:val="24"/>
          <w:szCs w:val="24"/>
        </w:rPr>
      </w:pPr>
      <w:r>
        <w:rPr>
          <w:noProof/>
          <w:lang w:eastAsia="lv-LV" w:bidi="lo-LA"/>
        </w:rPr>
        <w:drawing>
          <wp:inline distT="0" distB="0" distL="0" distR="0">
            <wp:extent cx="5574030" cy="2706903"/>
            <wp:effectExtent l="19050" t="19050" r="26670" b="1778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8228" cy="271865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25509B">
        <w:rPr>
          <w:rFonts w:cs="Times New Roman"/>
          <w:bCs/>
          <w:sz w:val="24"/>
          <w:szCs w:val="24"/>
        </w:rPr>
        <w:t xml:space="preserve"> Ja sarakstā </w:t>
      </w:r>
      <w:r w:rsidR="007B367A">
        <w:rPr>
          <w:rFonts w:cs="Times New Roman"/>
          <w:bCs/>
          <w:sz w:val="24"/>
          <w:szCs w:val="24"/>
        </w:rPr>
        <w:t>ir redzamas vairākas organiz</w:t>
      </w:r>
      <w:r w:rsidR="00EE2F08">
        <w:rPr>
          <w:rFonts w:cs="Times New Roman"/>
          <w:bCs/>
          <w:sz w:val="24"/>
          <w:szCs w:val="24"/>
        </w:rPr>
        <w:t>ācijas</w:t>
      </w:r>
      <w:r w:rsidR="0025509B">
        <w:rPr>
          <w:rFonts w:cs="Times New Roman"/>
          <w:bCs/>
          <w:sz w:val="24"/>
          <w:szCs w:val="24"/>
        </w:rPr>
        <w:t xml:space="preserve">, </w:t>
      </w:r>
      <w:r w:rsidR="00EE2F08">
        <w:rPr>
          <w:rFonts w:cs="Times New Roman"/>
          <w:bCs/>
          <w:sz w:val="24"/>
          <w:szCs w:val="24"/>
        </w:rPr>
        <w:t>lai</w:t>
      </w:r>
      <w:r w:rsidR="0025509B">
        <w:rPr>
          <w:rFonts w:cs="Times New Roman"/>
          <w:bCs/>
          <w:sz w:val="24"/>
          <w:szCs w:val="24"/>
        </w:rPr>
        <w:t xml:space="preserve"> atzīmēt</w:t>
      </w:r>
      <w:r w:rsidR="00EE2F08">
        <w:rPr>
          <w:rFonts w:cs="Times New Roman"/>
          <w:bCs/>
          <w:sz w:val="24"/>
          <w:szCs w:val="24"/>
        </w:rPr>
        <w:t>u tās visas jāizvēlas darbība</w:t>
      </w:r>
      <w:r w:rsidR="0025509B">
        <w:rPr>
          <w:rFonts w:cs="Times New Roman"/>
          <w:bCs/>
          <w:sz w:val="24"/>
          <w:szCs w:val="24"/>
        </w:rPr>
        <w:t xml:space="preserve"> “Atzīmēt visus”</w:t>
      </w:r>
      <w:r w:rsidR="00EE2F08">
        <w:rPr>
          <w:rFonts w:cs="Times New Roman"/>
          <w:bCs/>
          <w:sz w:val="24"/>
          <w:szCs w:val="24"/>
        </w:rPr>
        <w:t>, savukārt, lai</w:t>
      </w:r>
      <w:r w:rsidR="0025509B">
        <w:rPr>
          <w:rFonts w:cs="Times New Roman"/>
          <w:bCs/>
          <w:sz w:val="24"/>
          <w:szCs w:val="24"/>
        </w:rPr>
        <w:t xml:space="preserve"> atcelt</w:t>
      </w:r>
      <w:r w:rsidR="00EE2F08">
        <w:rPr>
          <w:rFonts w:cs="Times New Roman"/>
          <w:bCs/>
          <w:sz w:val="24"/>
          <w:szCs w:val="24"/>
        </w:rPr>
        <w:t>u</w:t>
      </w:r>
      <w:r w:rsidR="0025509B">
        <w:rPr>
          <w:rFonts w:cs="Times New Roman"/>
          <w:bCs/>
          <w:sz w:val="24"/>
          <w:szCs w:val="24"/>
        </w:rPr>
        <w:t xml:space="preserve"> iezīmētās </w:t>
      </w:r>
      <w:r w:rsidR="00EE2F08">
        <w:rPr>
          <w:rFonts w:cs="Times New Roman"/>
          <w:bCs/>
          <w:sz w:val="24"/>
          <w:szCs w:val="24"/>
        </w:rPr>
        <w:t xml:space="preserve">jāizvēlas darbība </w:t>
      </w:r>
      <w:r w:rsidR="0025509B">
        <w:rPr>
          <w:rFonts w:cs="Times New Roman"/>
          <w:bCs/>
          <w:sz w:val="24"/>
          <w:szCs w:val="24"/>
        </w:rPr>
        <w:t xml:space="preserve">“Noņemt visus”. </w:t>
      </w:r>
    </w:p>
    <w:p w:rsidR="0097078C" w:rsidRDefault="003E4C9C" w:rsidP="0097078C">
      <w:pPr>
        <w:pStyle w:val="Heading2"/>
        <w:numPr>
          <w:ilvl w:val="1"/>
          <w:numId w:val="2"/>
        </w:numPr>
        <w:spacing w:before="60"/>
        <w:ind w:left="992" w:hanging="567"/>
        <w15:collapsed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D36FB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Ja adresāts savas organizācijas datos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nav</w:t>
      </w:r>
      <w:r w:rsidRPr="00D36FB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norādījis savu e-adresi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vai ir nepieciešam</w:t>
      </w:r>
      <w:r w:rsidR="00A9369B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s,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norādīt papildus organizācijas, kurām nosūtīt dokumentu un kuras netika attēlotas iepriekšējā sarakstā, u</w:t>
      </w:r>
      <w:r w:rsidR="004C48D5">
        <w:rPr>
          <w:rFonts w:ascii="Times New Roman" w:hAnsi="Times New Roman" w:cs="Times New Roman"/>
          <w:bCs/>
          <w:color w:val="auto"/>
          <w:sz w:val="24"/>
          <w:szCs w:val="24"/>
        </w:rPr>
        <w:t>znirstošā loga “Dokumenta nosūtīšana uz e-adresi</w:t>
      </w:r>
      <w:r w:rsidR="004C48D5" w:rsidRPr="00DF0551">
        <w:rPr>
          <w:rFonts w:ascii="Times New Roman" w:hAnsi="Times New Roman" w:cs="Times New Roman"/>
          <w:bCs/>
          <w:color w:val="auto"/>
          <w:sz w:val="24"/>
          <w:szCs w:val="24"/>
        </w:rPr>
        <w:t>”</w:t>
      </w:r>
      <w:r w:rsidR="004C48D5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b</w:t>
      </w:r>
      <w:r w:rsidR="004A440F">
        <w:rPr>
          <w:rFonts w:ascii="Times New Roman" w:hAnsi="Times New Roman" w:cs="Times New Roman"/>
          <w:bCs/>
          <w:color w:val="auto"/>
          <w:sz w:val="24"/>
          <w:szCs w:val="24"/>
        </w:rPr>
        <w:t>lokā “Nosūtīšana uz papildus e-adresēm” jāievada adresāta e-</w:t>
      </w:r>
      <w:r w:rsidR="00E2728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adrese </w:t>
      </w:r>
      <w:r w:rsidR="004A440F">
        <w:rPr>
          <w:rFonts w:ascii="Times New Roman" w:hAnsi="Times New Roman" w:cs="Times New Roman"/>
          <w:bCs/>
          <w:color w:val="auto"/>
          <w:sz w:val="24"/>
          <w:szCs w:val="24"/>
        </w:rPr>
        <w:t>un</w:t>
      </w:r>
      <w:r w:rsidR="00E2728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tā</w:t>
      </w:r>
      <w:r w:rsidR="004A440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jāpievieno sarakstam, nospiežot uz piespraudes simbola</w:t>
      </w:r>
      <w:r w:rsidR="007F0ABE">
        <w:rPr>
          <w:rFonts w:ascii="Times New Roman" w:hAnsi="Times New Roman" w:cs="Times New Roman"/>
          <w:bCs/>
          <w:color w:val="auto"/>
          <w:sz w:val="24"/>
          <w:szCs w:val="24"/>
        </w:rPr>
        <w:t>:</w:t>
      </w:r>
    </w:p>
    <w:p w:rsidR="00754063" w:rsidRDefault="004A440F" w:rsidP="007F0ABE">
      <w:pPr>
        <w:ind w:left="1080"/>
      </w:pPr>
      <w:r>
        <w:rPr>
          <w:noProof/>
          <w:lang w:eastAsia="lv-LV" w:bidi="lo-LA"/>
        </w:rPr>
        <w:drawing>
          <wp:inline distT="0" distB="0" distL="0" distR="0" wp14:anchorId="4D811601" wp14:editId="6C361521">
            <wp:extent cx="5583835" cy="1723301"/>
            <wp:effectExtent l="19050" t="19050" r="17145" b="1079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913" cy="173443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005B60" w:rsidRPr="004A440F" w:rsidRDefault="00005B60" w:rsidP="007F0ABE">
      <w:pPr>
        <w:ind w:left="1080"/>
      </w:pPr>
    </w:p>
    <w:p w:rsidR="00B22C0B" w:rsidRDefault="00754063" w:rsidP="00B22C0B">
      <w:pPr>
        <w:pStyle w:val="Heading2"/>
        <w:numPr>
          <w:ilvl w:val="1"/>
          <w:numId w:val="2"/>
        </w:numPr>
        <w:spacing w:before="60"/>
        <w:ind w:left="992" w:hanging="567"/>
        <w15:collapsed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Kad </w:t>
      </w:r>
      <w:r w:rsidR="0025509B">
        <w:rPr>
          <w:rFonts w:ascii="Times New Roman" w:hAnsi="Times New Roman" w:cs="Times New Roman"/>
          <w:bCs/>
          <w:color w:val="auto"/>
          <w:sz w:val="24"/>
          <w:szCs w:val="24"/>
        </w:rPr>
        <w:t>organizācija</w:t>
      </w:r>
      <w:r w:rsidR="00005B60">
        <w:rPr>
          <w:rFonts w:ascii="Times New Roman" w:hAnsi="Times New Roman" w:cs="Times New Roman"/>
          <w:bCs/>
          <w:color w:val="auto"/>
          <w:sz w:val="24"/>
          <w:szCs w:val="24"/>
        </w:rPr>
        <w:t>/-a</w:t>
      </w:r>
      <w:r w:rsidR="0025509B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s </w:t>
      </w:r>
      <w:r w:rsidR="00005B6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ir </w:t>
      </w:r>
      <w:r w:rsidR="0025509B">
        <w:rPr>
          <w:rFonts w:ascii="Times New Roman" w:hAnsi="Times New Roman" w:cs="Times New Roman"/>
          <w:bCs/>
          <w:color w:val="auto"/>
          <w:sz w:val="24"/>
          <w:szCs w:val="24"/>
        </w:rPr>
        <w:t>izvēlētas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, jāizvēlas darbība “Nosūtīt uz e-adresi”</w:t>
      </w:r>
      <w:r w:rsidR="007F0ABE">
        <w:rPr>
          <w:rFonts w:ascii="Times New Roman" w:hAnsi="Times New Roman" w:cs="Times New Roman"/>
          <w:bCs/>
          <w:color w:val="auto"/>
          <w:sz w:val="24"/>
          <w:szCs w:val="24"/>
        </w:rPr>
        <w:t>:</w:t>
      </w:r>
    </w:p>
    <w:p w:rsidR="00754063" w:rsidRPr="00754063" w:rsidRDefault="00754063" w:rsidP="007F0ABE">
      <w:pPr>
        <w:ind w:left="1080"/>
      </w:pPr>
      <w:r>
        <w:rPr>
          <w:noProof/>
          <w:lang w:eastAsia="lv-LV" w:bidi="lo-LA"/>
        </w:rPr>
        <w:drawing>
          <wp:inline distT="0" distB="0" distL="0" distR="0">
            <wp:extent cx="5602885" cy="1729181"/>
            <wp:effectExtent l="0" t="0" r="0" b="444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16" cy="174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1E7" w:rsidRDefault="00D80089" w:rsidP="00CF31E7">
      <w:pPr>
        <w:pStyle w:val="Heading2"/>
        <w:numPr>
          <w:ilvl w:val="1"/>
          <w:numId w:val="2"/>
        </w:numPr>
        <w:spacing w:before="60"/>
        <w:ind w:left="992" w:hanging="567"/>
        <w15:collapsed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lastRenderedPageBreak/>
        <w:t>Veiksmīgas dokumenta nosūtīšanas rezultātā</w:t>
      </w:r>
      <w:r w:rsidR="00BA752C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attiecīgajam dokum</w:t>
      </w:r>
      <w:r w:rsidR="007F7F5F">
        <w:rPr>
          <w:rFonts w:ascii="Times New Roman" w:hAnsi="Times New Roman" w:cs="Times New Roman"/>
          <w:bCs/>
          <w:color w:val="auto"/>
          <w:sz w:val="24"/>
          <w:szCs w:val="24"/>
        </w:rPr>
        <w:t>e</w:t>
      </w:r>
      <w:r w:rsidR="00BA752C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ntam kolonnā “DIV statuss” ir redzams statuss “Nogādāts”. Vēršam uzmanību, ka DIV statusa </w:t>
      </w:r>
      <w:r w:rsidR="007F0ABE">
        <w:rPr>
          <w:rFonts w:ascii="Times New Roman" w:hAnsi="Times New Roman" w:cs="Times New Roman"/>
          <w:bCs/>
          <w:color w:val="auto"/>
          <w:sz w:val="24"/>
          <w:szCs w:val="24"/>
        </w:rPr>
        <w:t>attēlo</w:t>
      </w:r>
      <w:r w:rsidR="0025509B">
        <w:rPr>
          <w:rFonts w:ascii="Times New Roman" w:hAnsi="Times New Roman" w:cs="Times New Roman"/>
          <w:bCs/>
          <w:color w:val="auto"/>
          <w:sz w:val="24"/>
          <w:szCs w:val="24"/>
        </w:rPr>
        <w:t>jums</w:t>
      </w:r>
      <w:r w:rsidR="007F0AB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="00BA752C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var </w:t>
      </w:r>
      <w:r w:rsidR="0025509B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parādīties </w:t>
      </w:r>
      <w:r w:rsidR="007F7F5F">
        <w:rPr>
          <w:rFonts w:ascii="Times New Roman" w:hAnsi="Times New Roman" w:cs="Times New Roman"/>
          <w:bCs/>
          <w:color w:val="auto"/>
          <w:sz w:val="24"/>
          <w:szCs w:val="24"/>
        </w:rPr>
        <w:t>pēc neilga brīža</w:t>
      </w:r>
      <w:r w:rsidR="00BA752C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</w:p>
    <w:p w:rsidR="00583BAB" w:rsidRDefault="00BA752C" w:rsidP="007F0ABE">
      <w:pPr>
        <w:ind w:left="1080"/>
      </w:pPr>
      <w:r>
        <w:rPr>
          <w:noProof/>
          <w:lang w:eastAsia="lv-LV" w:bidi="lo-LA"/>
        </w:rPr>
        <w:drawing>
          <wp:inline distT="0" distB="0" distL="0" distR="0">
            <wp:extent cx="5602885" cy="1161264"/>
            <wp:effectExtent l="0" t="0" r="0" b="127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1612" cy="1163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B60" w:rsidRPr="00BA752C" w:rsidRDefault="00005B60" w:rsidP="007F0ABE">
      <w:pPr>
        <w:ind w:left="1080"/>
      </w:pPr>
    </w:p>
    <w:p w:rsidR="00CF31E7" w:rsidRDefault="00BA752C" w:rsidP="00CF31E7">
      <w:pPr>
        <w:pStyle w:val="Heading2"/>
        <w:numPr>
          <w:ilvl w:val="1"/>
          <w:numId w:val="2"/>
        </w:numPr>
        <w:spacing w:before="60"/>
        <w:ind w:left="992" w:hanging="567"/>
        <w15:collapsed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>Ja kādu iemeslu dēļ, piemēram, nav korekti norādīta e-adrese</w:t>
      </w:r>
      <w:r w:rsidR="0025509B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Elektronisko iepirkumu sistēmā vai arī E-adrese ir deaktivēta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, dokuments netika nogādāts adresātam</w:t>
      </w:r>
      <w:r w:rsidR="0025509B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un</w:t>
      </w:r>
      <w:r w:rsidRPr="00BA752C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attiecīgajam dokum</w:t>
      </w:r>
      <w:r w:rsidR="007F7F5F">
        <w:rPr>
          <w:rFonts w:ascii="Times New Roman" w:hAnsi="Times New Roman" w:cs="Times New Roman"/>
          <w:bCs/>
          <w:color w:val="auto"/>
          <w:sz w:val="24"/>
          <w:szCs w:val="24"/>
        </w:rPr>
        <w:t>e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ntam kolonnā “DIV statuss” </w:t>
      </w:r>
      <w:r w:rsidR="00005B60">
        <w:rPr>
          <w:rFonts w:ascii="Times New Roman" w:hAnsi="Times New Roman" w:cs="Times New Roman"/>
          <w:bCs/>
          <w:color w:val="auto"/>
          <w:sz w:val="24"/>
          <w:szCs w:val="24"/>
        </w:rPr>
        <w:t>tiks attēlots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statuss “N</w:t>
      </w:r>
      <w:r w:rsidR="007F7F5F">
        <w:rPr>
          <w:rFonts w:ascii="Times New Roman" w:hAnsi="Times New Roman" w:cs="Times New Roman"/>
          <w:bCs/>
          <w:color w:val="auto"/>
          <w:sz w:val="24"/>
          <w:szCs w:val="24"/>
        </w:rPr>
        <w:t>etika n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ogādāts”</w:t>
      </w:r>
      <w:r w:rsidR="007F7F5F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  <w:r w:rsidR="007F7F5F" w:rsidRPr="007F7F5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="007F7F5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Vēršam uzmanību, ka </w:t>
      </w:r>
      <w:r w:rsidR="00005B60" w:rsidRPr="00005B60">
        <w:rPr>
          <w:rFonts w:ascii="Times New Roman" w:hAnsi="Times New Roman" w:cs="Times New Roman"/>
          <w:bCs/>
          <w:color w:val="auto"/>
          <w:sz w:val="24"/>
          <w:szCs w:val="24"/>
        </w:rPr>
        <w:t>DIV statusa attēlojums var parādīties pēc neilga brīža</w:t>
      </w:r>
      <w:r w:rsidR="00005B60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</w:p>
    <w:p w:rsidR="00BA752C" w:rsidRPr="00BA752C" w:rsidRDefault="00BA752C" w:rsidP="007F0ABE">
      <w:pPr>
        <w:ind w:left="1080"/>
      </w:pPr>
      <w:r>
        <w:rPr>
          <w:noProof/>
          <w:lang w:eastAsia="lv-LV" w:bidi="lo-LA"/>
        </w:rPr>
        <w:drawing>
          <wp:inline distT="0" distB="0" distL="0" distR="0">
            <wp:extent cx="5602885" cy="1152787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948" cy="1158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1C97" w:rsidRPr="00544783" w:rsidRDefault="00CF09F4" w:rsidP="007B0455">
      <w:pPr>
        <w:ind w:left="993"/>
        <w:rPr>
          <w:sz w:val="24"/>
          <w:szCs w:val="24"/>
        </w:rPr>
      </w:pPr>
      <w:r w:rsidRPr="00544783">
        <w:rPr>
          <w:color w:val="FF0000"/>
          <w:sz w:val="24"/>
          <w:szCs w:val="24"/>
        </w:rPr>
        <w:t>! Vēršam uzmanību</w:t>
      </w:r>
      <w:r w:rsidRPr="00544783">
        <w:rPr>
          <w:sz w:val="24"/>
          <w:szCs w:val="24"/>
        </w:rPr>
        <w:t xml:space="preserve">, ja sūtījums ir adresēts </w:t>
      </w:r>
      <w:r w:rsidRPr="00544783">
        <w:rPr>
          <w:sz w:val="24"/>
          <w:szCs w:val="24"/>
          <w:u w:val="single"/>
        </w:rPr>
        <w:t>vairākiem adresātiem</w:t>
      </w:r>
      <w:r w:rsidRPr="00544783">
        <w:rPr>
          <w:sz w:val="24"/>
          <w:szCs w:val="24"/>
        </w:rPr>
        <w:t xml:space="preserve"> un, ja kādam no tiem augstāk norādītu iemeslu dēļ, sūtījums netika nogādāts, tad </w:t>
      </w:r>
      <w:r w:rsidR="00544783" w:rsidRPr="00544783">
        <w:rPr>
          <w:sz w:val="24"/>
          <w:szCs w:val="24"/>
        </w:rPr>
        <w:t xml:space="preserve">attiecīgs sūtījums </w:t>
      </w:r>
      <w:r w:rsidR="00544783" w:rsidRPr="00544783">
        <w:rPr>
          <w:sz w:val="24"/>
          <w:szCs w:val="24"/>
          <w:u w:val="single"/>
        </w:rPr>
        <w:t>netiks piegādāts nevienam</w:t>
      </w:r>
      <w:r w:rsidR="00544783" w:rsidRPr="00544783">
        <w:rPr>
          <w:sz w:val="24"/>
          <w:szCs w:val="24"/>
        </w:rPr>
        <w:t xml:space="preserve"> no adresātiem un </w:t>
      </w:r>
      <w:r w:rsidRPr="00544783">
        <w:rPr>
          <w:bCs/>
          <w:sz w:val="24"/>
          <w:szCs w:val="24"/>
        </w:rPr>
        <w:t>attiecīgajam dokumentam kolonnā “DIV statuss” tiks attēlots statuss “Netika nogādāts”</w:t>
      </w:r>
      <w:r w:rsidRPr="00544783">
        <w:rPr>
          <w:sz w:val="24"/>
          <w:szCs w:val="24"/>
        </w:rPr>
        <w:t>.</w:t>
      </w:r>
    </w:p>
    <w:p w:rsidR="00036EE9" w:rsidRDefault="00036EE9" w:rsidP="00036EE9">
      <w:pPr>
        <w:pStyle w:val="Heading2"/>
        <w:numPr>
          <w:ilvl w:val="1"/>
          <w:numId w:val="2"/>
        </w:numPr>
        <w:spacing w:before="60"/>
        <w:ind w:left="992" w:hanging="567"/>
        <w15:collapsed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>Lai noska</w:t>
      </w:r>
      <w:r w:rsidRPr="00036EE9">
        <w:rPr>
          <w:rFonts w:ascii="Times New Roman" w:hAnsi="Times New Roman" w:cs="Times New Roman"/>
          <w:bCs/>
          <w:color w:val="auto"/>
          <w:sz w:val="24"/>
          <w:szCs w:val="24"/>
        </w:rPr>
        <w:t>idrotu dokum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enta nosūtīšanas statusu vēsturi, </w:t>
      </w:r>
      <w:r w:rsidRPr="00036EE9">
        <w:rPr>
          <w:rFonts w:ascii="Times New Roman" w:hAnsi="Times New Roman" w:cs="Times New Roman"/>
          <w:bCs/>
          <w:color w:val="auto"/>
          <w:sz w:val="24"/>
          <w:szCs w:val="24"/>
        </w:rPr>
        <w:t>attiecīgajam dokumentam nepieciešams izvēlēties simbolu “Atvērt ierakstu” vai simbolu “Apskatīties”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. U</w:t>
      </w:r>
      <w:r w:rsidRPr="00DF0551">
        <w:rPr>
          <w:rFonts w:ascii="Times New Roman" w:hAnsi="Times New Roman" w:cs="Times New Roman"/>
          <w:bCs/>
          <w:color w:val="auto"/>
          <w:sz w:val="24"/>
          <w:szCs w:val="24"/>
        </w:rPr>
        <w:t>znirstošajā logā “Dokumenta uzturēšana”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jāizvēlas </w:t>
      </w:r>
      <w:r w:rsidR="00005B60">
        <w:rPr>
          <w:rFonts w:ascii="Times New Roman" w:hAnsi="Times New Roman" w:cs="Times New Roman"/>
          <w:bCs/>
          <w:color w:val="auto"/>
          <w:sz w:val="24"/>
          <w:szCs w:val="24"/>
        </w:rPr>
        <w:t>darbība “Nosūtīt uz e-adresi” (2.2. un 2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.3. darbība). Tad </w:t>
      </w:r>
      <w:r w:rsidR="00BA79A0">
        <w:rPr>
          <w:rFonts w:ascii="Times New Roman" w:hAnsi="Times New Roman" w:cs="Times New Roman"/>
          <w:bCs/>
          <w:color w:val="auto"/>
          <w:sz w:val="24"/>
          <w:szCs w:val="24"/>
        </w:rPr>
        <w:t>u</w:t>
      </w:r>
      <w:r w:rsidR="00BA79A0" w:rsidRPr="00DF0551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znirstošajā logā “Dokumenta </w:t>
      </w:r>
      <w:r w:rsidR="00BA79A0">
        <w:rPr>
          <w:rFonts w:ascii="Times New Roman" w:hAnsi="Times New Roman" w:cs="Times New Roman"/>
          <w:bCs/>
          <w:color w:val="auto"/>
          <w:sz w:val="24"/>
          <w:szCs w:val="24"/>
        </w:rPr>
        <w:t>nosūtīšana uz e-adresi</w:t>
      </w:r>
      <w:r w:rsidR="00BA79A0" w:rsidRPr="00DF0551">
        <w:rPr>
          <w:rFonts w:ascii="Times New Roman" w:hAnsi="Times New Roman" w:cs="Times New Roman"/>
          <w:bCs/>
          <w:color w:val="auto"/>
          <w:sz w:val="24"/>
          <w:szCs w:val="24"/>
        </w:rPr>
        <w:t>”</w:t>
      </w:r>
      <w:r w:rsidR="00BA79A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jānospiež uz aploksnes simbola</w:t>
      </w:r>
      <w:r w:rsidR="00005B60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</w:p>
    <w:p w:rsidR="00036EE9" w:rsidRDefault="00A53BD0" w:rsidP="00005B60">
      <w:pPr>
        <w:ind w:left="1134"/>
      </w:pPr>
      <w:r>
        <w:rPr>
          <w:noProof/>
          <w:lang w:eastAsia="lv-LV" w:bidi="lo-LA"/>
        </w:rPr>
        <w:drawing>
          <wp:inline distT="0" distB="0" distL="0" distR="0">
            <wp:extent cx="5562600" cy="2154350"/>
            <wp:effectExtent l="19050" t="19050" r="19050" b="177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5264" cy="216700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1E06AF" w:rsidRPr="00036EE9" w:rsidRDefault="001E06AF" w:rsidP="00A53BD0">
      <w:pPr>
        <w:ind w:left="426"/>
      </w:pPr>
    </w:p>
    <w:p w:rsidR="00E70491" w:rsidRPr="00425842" w:rsidRDefault="001E06AF" w:rsidP="00425842">
      <w:pPr>
        <w:pStyle w:val="Heading2"/>
        <w:numPr>
          <w:ilvl w:val="2"/>
          <w:numId w:val="2"/>
        </w:numPr>
        <w:spacing w:before="60"/>
        <w:ind w:left="1418" w:hanging="567"/>
        <w15:collapsed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425842">
        <w:rPr>
          <w:rFonts w:ascii="Times New Roman" w:hAnsi="Times New Roman" w:cs="Times New Roman"/>
          <w:bCs/>
          <w:color w:val="auto"/>
          <w:sz w:val="24"/>
          <w:szCs w:val="24"/>
        </w:rPr>
        <w:lastRenderedPageBreak/>
        <w:t>Statusu vēsture veiksmīgas dokumenta nosūtīšanas rezultātā attiecīgajam dokumentam:</w:t>
      </w:r>
    </w:p>
    <w:p w:rsidR="001E06AF" w:rsidRDefault="001E06AF" w:rsidP="00005B60">
      <w:pPr>
        <w:pStyle w:val="ListParagraph"/>
        <w:ind w:left="1134"/>
      </w:pPr>
      <w:r>
        <w:rPr>
          <w:noProof/>
          <w:lang w:eastAsia="lv-LV" w:bidi="lo-LA"/>
        </w:rPr>
        <w:drawing>
          <wp:inline distT="0" distB="0" distL="0" distR="0">
            <wp:extent cx="5553075" cy="1579392"/>
            <wp:effectExtent l="19050" t="19050" r="9525" b="209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2043" cy="159331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1E06AF" w:rsidRPr="001E06AF" w:rsidRDefault="001E06AF" w:rsidP="001E06AF">
      <w:pPr>
        <w:pStyle w:val="ListParagraph"/>
        <w:ind w:left="284"/>
      </w:pPr>
    </w:p>
    <w:p w:rsidR="001E06AF" w:rsidRPr="00425842" w:rsidRDefault="001E06AF" w:rsidP="00425842">
      <w:pPr>
        <w:pStyle w:val="Heading2"/>
        <w:numPr>
          <w:ilvl w:val="2"/>
          <w:numId w:val="2"/>
        </w:numPr>
        <w:spacing w:before="60"/>
        <w:ind w:left="1418" w:hanging="567"/>
        <w15:collapsed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42584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Statusu vēsture </w:t>
      </w:r>
      <w:r w:rsidR="007A415D" w:rsidRPr="00425842">
        <w:rPr>
          <w:rFonts w:ascii="Times New Roman" w:hAnsi="Times New Roman" w:cs="Times New Roman"/>
          <w:bCs/>
          <w:color w:val="auto"/>
          <w:sz w:val="24"/>
          <w:szCs w:val="24"/>
        </w:rPr>
        <w:t>ne</w:t>
      </w:r>
      <w:r w:rsidRPr="00425842">
        <w:rPr>
          <w:rFonts w:ascii="Times New Roman" w:hAnsi="Times New Roman" w:cs="Times New Roman"/>
          <w:bCs/>
          <w:color w:val="auto"/>
          <w:sz w:val="24"/>
          <w:szCs w:val="24"/>
        </w:rPr>
        <w:t>veiksmīgas dokumenta nosūtīšanas rezultātā attiecīgajam dokumentam:</w:t>
      </w:r>
    </w:p>
    <w:p w:rsidR="001E06AF" w:rsidRDefault="001E06AF" w:rsidP="00D062CC">
      <w:pPr>
        <w:pStyle w:val="ListParagraph"/>
        <w:ind w:left="1134"/>
      </w:pPr>
      <w:r>
        <w:rPr>
          <w:noProof/>
          <w:lang w:eastAsia="lv-LV" w:bidi="lo-LA"/>
        </w:rPr>
        <w:drawing>
          <wp:inline distT="0" distB="0" distL="0" distR="0">
            <wp:extent cx="5554980" cy="1588338"/>
            <wp:effectExtent l="19050" t="19050" r="26670" b="1206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8167" cy="159496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4F3155" w:rsidRPr="00F85BC3" w:rsidRDefault="00FD670D" w:rsidP="00401B72">
      <w:pPr>
        <w:pStyle w:val="Heading1"/>
        <w:numPr>
          <w:ilvl w:val="0"/>
          <w:numId w:val="2"/>
        </w:numPr>
        <w:ind w:left="426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E-adresē saņemtā dokumenta autora jeb tā sūtītāja noteikšana</w:t>
      </w:r>
    </w:p>
    <w:p w:rsidR="0085587E" w:rsidRDefault="00FD670D" w:rsidP="00401B72">
      <w:pPr>
        <w:pStyle w:val="Heading2"/>
        <w:numPr>
          <w:ilvl w:val="1"/>
          <w:numId w:val="2"/>
        </w:numPr>
        <w:spacing w:before="60"/>
        <w:ind w:left="992" w:hanging="567"/>
        <w15:collapsed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Tā kā dokumenta nosūtīšana </w:t>
      </w:r>
      <w:r w:rsidR="0085587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uz e-adresi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ir veikta izmantojot Elektronisko iepirkumu sistēmu, </w:t>
      </w:r>
      <w:r w:rsidR="0085587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attiecīgajā e-adresē </w:t>
      </w:r>
      <w:r w:rsidR="0014438B">
        <w:rPr>
          <w:rFonts w:ascii="Times New Roman" w:hAnsi="Times New Roman" w:cs="Times New Roman"/>
          <w:bCs/>
          <w:color w:val="auto"/>
          <w:sz w:val="24"/>
          <w:szCs w:val="24"/>
        </w:rPr>
        <w:t>saņemtā</w:t>
      </w:r>
      <w:r w:rsidR="0085587E" w:rsidRPr="00984E7D">
        <w:rPr>
          <w:rFonts w:ascii="Times New Roman" w:hAnsi="Times New Roman" w:cs="Times New Roman"/>
          <w:bCs/>
          <w:color w:val="auto"/>
          <w:sz w:val="24"/>
          <w:szCs w:val="24"/>
        </w:rPr>
        <w:t>s</w:t>
      </w:r>
      <w:r w:rsidR="00401B72" w:rsidRPr="00984E7D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ziņas </w:t>
      </w:r>
      <w:r w:rsidR="0085587E" w:rsidRPr="00984E7D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autors jeb </w:t>
      </w:r>
      <w:r w:rsidR="00401B72" w:rsidRPr="00984E7D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sūtītājs </w:t>
      </w:r>
      <w:r w:rsidR="004F3155" w:rsidRPr="00984E7D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ir Elektronisko iepirkumu sistēma. </w:t>
      </w:r>
      <w:r w:rsidR="00CF09F4" w:rsidRPr="00984E7D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Ja gadījumā no saņemtā dokumenta </w:t>
      </w:r>
      <w:r w:rsidR="00984E7D" w:rsidRPr="00984E7D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tā </w:t>
      </w:r>
      <w:r w:rsidR="00CF09F4" w:rsidRPr="00984E7D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autors vai </w:t>
      </w:r>
      <w:r w:rsidR="00984E7D" w:rsidRPr="00984E7D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kāda </w:t>
      </w:r>
      <w:r w:rsidR="00CF09F4" w:rsidRPr="00984E7D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cita </w:t>
      </w:r>
      <w:r w:rsidR="00984E7D" w:rsidRPr="00984E7D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nepieciešama </w:t>
      </w:r>
      <w:r w:rsidR="00CF09F4" w:rsidRPr="00984E7D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informācija par </w:t>
      </w:r>
      <w:r w:rsidR="00984E7D" w:rsidRPr="00984E7D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saistīto </w:t>
      </w:r>
      <w:r w:rsidR="00CF09F4" w:rsidRPr="00984E7D">
        <w:rPr>
          <w:rFonts w:ascii="Times New Roman" w:hAnsi="Times New Roman" w:cs="Times New Roman"/>
          <w:bCs/>
          <w:color w:val="auto"/>
          <w:sz w:val="24"/>
          <w:szCs w:val="24"/>
        </w:rPr>
        <w:t>iepirkum</w:t>
      </w:r>
      <w:r w:rsidR="00984E7D" w:rsidRPr="00984E7D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u </w:t>
      </w:r>
      <w:r w:rsidR="00CF09F4" w:rsidRPr="00984E7D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nav </w:t>
      </w:r>
      <w:r w:rsidR="00984E7D" w:rsidRPr="00984E7D">
        <w:rPr>
          <w:rFonts w:ascii="Times New Roman" w:hAnsi="Times New Roman" w:cs="Times New Roman"/>
          <w:bCs/>
          <w:color w:val="auto"/>
          <w:sz w:val="24"/>
          <w:szCs w:val="24"/>
        </w:rPr>
        <w:t>nosakama</w:t>
      </w:r>
      <w:r w:rsidR="00CF09F4" w:rsidRPr="00984E7D">
        <w:rPr>
          <w:rFonts w:ascii="Times New Roman" w:hAnsi="Times New Roman" w:cs="Times New Roman"/>
          <w:bCs/>
          <w:color w:val="auto"/>
          <w:sz w:val="24"/>
          <w:szCs w:val="24"/>
        </w:rPr>
        <w:t>, tad</w:t>
      </w:r>
      <w:r w:rsidR="0014438B">
        <w:rPr>
          <w:rFonts w:ascii="Times New Roman" w:hAnsi="Times New Roman" w:cs="Times New Roman"/>
          <w:bCs/>
          <w:color w:val="auto"/>
          <w:sz w:val="24"/>
          <w:szCs w:val="24"/>
        </w:rPr>
        <w:t>,</w:t>
      </w:r>
      <w:r w:rsidR="00CF09F4" w:rsidRPr="00984E7D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="00984E7D" w:rsidRPr="00984E7D">
        <w:rPr>
          <w:rFonts w:ascii="Times New Roman" w:hAnsi="Times New Roman" w:cs="Times New Roman"/>
          <w:bCs/>
          <w:color w:val="auto"/>
          <w:sz w:val="24"/>
          <w:szCs w:val="24"/>
        </w:rPr>
        <w:t>l</w:t>
      </w:r>
      <w:r w:rsidR="0085587E" w:rsidRPr="00984E7D">
        <w:rPr>
          <w:rFonts w:ascii="Times New Roman" w:hAnsi="Times New Roman" w:cs="Times New Roman"/>
          <w:bCs/>
          <w:color w:val="auto"/>
          <w:sz w:val="24"/>
          <w:szCs w:val="24"/>
        </w:rPr>
        <w:t>ai</w:t>
      </w:r>
      <w:r w:rsidR="00984E7D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to</w:t>
      </w:r>
      <w:r w:rsidR="0085587E" w:rsidRPr="00984E7D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="00984E7D" w:rsidRPr="00984E7D">
        <w:rPr>
          <w:rFonts w:ascii="Times New Roman" w:hAnsi="Times New Roman" w:cs="Times New Roman"/>
          <w:bCs/>
          <w:color w:val="auto"/>
          <w:sz w:val="24"/>
          <w:szCs w:val="24"/>
        </w:rPr>
        <w:t>nos</w:t>
      </w:r>
      <w:r w:rsidR="00CF09F4" w:rsidRPr="00984E7D">
        <w:rPr>
          <w:rFonts w:ascii="Times New Roman" w:hAnsi="Times New Roman" w:cs="Times New Roman"/>
          <w:bCs/>
          <w:color w:val="auto"/>
          <w:sz w:val="24"/>
          <w:szCs w:val="24"/>
        </w:rPr>
        <w:t>k</w:t>
      </w:r>
      <w:r w:rsidR="00984E7D" w:rsidRPr="00984E7D">
        <w:rPr>
          <w:rFonts w:ascii="Times New Roman" w:hAnsi="Times New Roman" w:cs="Times New Roman"/>
          <w:bCs/>
          <w:color w:val="auto"/>
          <w:sz w:val="24"/>
          <w:szCs w:val="24"/>
        </w:rPr>
        <w:t>a</w:t>
      </w:r>
      <w:r w:rsidR="00CF09F4" w:rsidRPr="00984E7D">
        <w:rPr>
          <w:rFonts w:ascii="Times New Roman" w:hAnsi="Times New Roman" w:cs="Times New Roman"/>
          <w:bCs/>
          <w:color w:val="auto"/>
          <w:sz w:val="24"/>
          <w:szCs w:val="24"/>
        </w:rPr>
        <w:t>idrotu</w:t>
      </w:r>
      <w:r w:rsidR="0014438B">
        <w:rPr>
          <w:rFonts w:ascii="Times New Roman" w:hAnsi="Times New Roman" w:cs="Times New Roman"/>
          <w:bCs/>
          <w:color w:val="auto"/>
          <w:sz w:val="24"/>
          <w:szCs w:val="24"/>
        </w:rPr>
        <w:t>,</w:t>
      </w:r>
      <w:r w:rsidR="0085587E" w:rsidRPr="00984E7D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ir jāatver sūtījumam pievienota datne _EPS_procurement_extra_data.xml, kurā norādīts</w:t>
      </w:r>
      <w:r w:rsidR="0085587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pasūtītāja nosaukums, pasūtītāja reģistrācijas numurs, iepirkuma numurs, iepirkuma nosaukums, autors, autora reģistrācijas numurs vai personas kods, ziņojuma nosūtīšanas datumlaiks</w:t>
      </w:r>
      <w:r w:rsidR="00402E2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u.c.</w:t>
      </w:r>
      <w:bookmarkStart w:id="0" w:name="_GoBack"/>
      <w:bookmarkEnd w:id="0"/>
    </w:p>
    <w:p w:rsidR="007C456D" w:rsidRDefault="007C456D" w:rsidP="00401B72">
      <w:pPr>
        <w:ind w:left="993"/>
        <w:rPr>
          <w:sz w:val="24"/>
          <w:szCs w:val="24"/>
        </w:rPr>
      </w:pPr>
      <w:r w:rsidRPr="00401B72">
        <w:rPr>
          <w:sz w:val="24"/>
          <w:szCs w:val="24"/>
        </w:rPr>
        <w:t>Piemērs datnei:</w:t>
      </w:r>
    </w:p>
    <w:p w:rsidR="009E0140" w:rsidRPr="00401B72" w:rsidRDefault="00BF705A" w:rsidP="00401B72">
      <w:pPr>
        <w:ind w:left="993"/>
        <w:rPr>
          <w:sz w:val="24"/>
          <w:szCs w:val="24"/>
        </w:rPr>
      </w:pPr>
      <w:r>
        <w:rPr>
          <w:noProof/>
          <w:sz w:val="24"/>
          <w:szCs w:val="24"/>
          <w:lang w:eastAsia="lv-LV" w:bidi="lo-LA"/>
        </w:rPr>
        <w:drawing>
          <wp:inline distT="0" distB="0" distL="0" distR="0">
            <wp:extent cx="5695950" cy="268605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155" w:rsidRDefault="004F3155" w:rsidP="00036F8E"/>
    <w:p w:rsidR="004F3155" w:rsidRPr="001C2C4B" w:rsidRDefault="004F3155" w:rsidP="00960345">
      <w:pPr>
        <w:pStyle w:val="ListParagraph"/>
        <w:ind w:left="426"/>
      </w:pPr>
    </w:p>
    <w:sectPr w:rsidR="004F3155" w:rsidRPr="001C2C4B" w:rsidSect="00694E24">
      <w:footerReference w:type="default" r:id="rId21"/>
      <w:pgSz w:w="11906" w:h="16838"/>
      <w:pgMar w:top="851" w:right="1133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65F" w:rsidRDefault="002C265F" w:rsidP="004C4EA5">
      <w:r>
        <w:separator/>
      </w:r>
    </w:p>
  </w:endnote>
  <w:endnote w:type="continuationSeparator" w:id="0">
    <w:p w:rsidR="002C265F" w:rsidRDefault="002C265F" w:rsidP="004C4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DokChamp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4598041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sdt>
        <w:sdtPr>
          <w:id w:val="-1468043239"/>
          <w:docPartObj>
            <w:docPartGallery w:val="Page Numbers (Top of Page)"/>
            <w:docPartUnique/>
          </w:docPartObj>
        </w:sdtPr>
        <w:sdtEndPr>
          <w:rPr>
            <w:sz w:val="24"/>
            <w:szCs w:val="24"/>
          </w:rPr>
        </w:sdtEndPr>
        <w:sdtContent>
          <w:p w:rsidR="004C4EA5" w:rsidRPr="004C4EA5" w:rsidRDefault="004C4EA5">
            <w:pPr>
              <w:pStyle w:val="Footer"/>
              <w:jc w:val="right"/>
              <w:rPr>
                <w:sz w:val="24"/>
                <w:szCs w:val="24"/>
              </w:rPr>
            </w:pPr>
            <w:r w:rsidRPr="004C4EA5">
              <w:rPr>
                <w:bCs/>
                <w:sz w:val="24"/>
                <w:szCs w:val="24"/>
              </w:rPr>
              <w:fldChar w:fldCharType="begin"/>
            </w:r>
            <w:r w:rsidRPr="004C4EA5">
              <w:rPr>
                <w:bCs/>
                <w:sz w:val="24"/>
                <w:szCs w:val="24"/>
              </w:rPr>
              <w:instrText xml:space="preserve"> PAGE </w:instrText>
            </w:r>
            <w:r w:rsidRPr="004C4EA5">
              <w:rPr>
                <w:bCs/>
                <w:sz w:val="24"/>
                <w:szCs w:val="24"/>
              </w:rPr>
              <w:fldChar w:fldCharType="separate"/>
            </w:r>
            <w:r w:rsidR="0014438B">
              <w:rPr>
                <w:bCs/>
                <w:noProof/>
                <w:sz w:val="24"/>
                <w:szCs w:val="24"/>
              </w:rPr>
              <w:t>4</w:t>
            </w:r>
            <w:r w:rsidRPr="004C4EA5">
              <w:rPr>
                <w:bCs/>
                <w:sz w:val="24"/>
                <w:szCs w:val="24"/>
              </w:rPr>
              <w:fldChar w:fldCharType="end"/>
            </w:r>
            <w:r w:rsidRPr="004C4EA5">
              <w:rPr>
                <w:sz w:val="24"/>
                <w:szCs w:val="24"/>
              </w:rPr>
              <w:t xml:space="preserve"> - </w:t>
            </w:r>
            <w:r w:rsidRPr="004C4EA5">
              <w:rPr>
                <w:bCs/>
                <w:sz w:val="24"/>
                <w:szCs w:val="24"/>
              </w:rPr>
              <w:fldChar w:fldCharType="begin"/>
            </w:r>
            <w:r w:rsidRPr="004C4EA5">
              <w:rPr>
                <w:bCs/>
                <w:sz w:val="24"/>
                <w:szCs w:val="24"/>
              </w:rPr>
              <w:instrText xml:space="preserve"> NUMPAGES  </w:instrText>
            </w:r>
            <w:r w:rsidRPr="004C4EA5">
              <w:rPr>
                <w:bCs/>
                <w:sz w:val="24"/>
                <w:szCs w:val="24"/>
              </w:rPr>
              <w:fldChar w:fldCharType="separate"/>
            </w:r>
            <w:r w:rsidR="0014438B">
              <w:rPr>
                <w:bCs/>
                <w:noProof/>
                <w:sz w:val="24"/>
                <w:szCs w:val="24"/>
              </w:rPr>
              <w:t>5</w:t>
            </w:r>
            <w:r w:rsidRPr="004C4EA5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C4EA5" w:rsidRDefault="004C4E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65F" w:rsidRDefault="002C265F" w:rsidP="004C4EA5">
      <w:r>
        <w:separator/>
      </w:r>
    </w:p>
  </w:footnote>
  <w:footnote w:type="continuationSeparator" w:id="0">
    <w:p w:rsidR="002C265F" w:rsidRDefault="002C265F" w:rsidP="004C4E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0182A"/>
    <w:multiLevelType w:val="hybridMultilevel"/>
    <w:tmpl w:val="67D49C2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A68B0"/>
    <w:multiLevelType w:val="multilevel"/>
    <w:tmpl w:val="EFE254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</w:lvl>
    <w:lvl w:ilvl="4">
      <w:start w:val="1"/>
      <w:numFmt w:val="decimal"/>
      <w:isLgl/>
      <w:lvlText w:val="%1.%2.%3.%4.%5."/>
      <w:lvlJc w:val="left"/>
      <w:pPr>
        <w:ind w:left="1704" w:hanging="1080"/>
      </w:pPr>
    </w:lvl>
    <w:lvl w:ilvl="5">
      <w:start w:val="1"/>
      <w:numFmt w:val="decimal"/>
      <w:isLgl/>
      <w:lvlText w:val="%1.%2.%3.%4.%5.%6."/>
      <w:lvlJc w:val="left"/>
      <w:pPr>
        <w:ind w:left="1770" w:hanging="1080"/>
      </w:pPr>
    </w:lvl>
    <w:lvl w:ilvl="6">
      <w:start w:val="1"/>
      <w:numFmt w:val="decimal"/>
      <w:isLgl/>
      <w:lvlText w:val="%1.%2.%3.%4.%5.%6.%7."/>
      <w:lvlJc w:val="left"/>
      <w:pPr>
        <w:ind w:left="2196" w:hanging="1440"/>
      </w:p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</w:lvl>
  </w:abstractNum>
  <w:abstractNum w:abstractNumId="2" w15:restartNumberingAfterBreak="0">
    <w:nsid w:val="372B2424"/>
    <w:multiLevelType w:val="hybridMultilevel"/>
    <w:tmpl w:val="2D94CE72"/>
    <w:lvl w:ilvl="0" w:tplc="686448E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991B24"/>
    <w:multiLevelType w:val="hybridMultilevel"/>
    <w:tmpl w:val="F6BC17D2"/>
    <w:lvl w:ilvl="0" w:tplc="4C105BD8">
      <w:start w:val="3"/>
      <w:numFmt w:val="bullet"/>
      <w:lvlText w:val="-"/>
      <w:lvlJc w:val="left"/>
      <w:pPr>
        <w:ind w:left="2595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</w:abstractNum>
  <w:abstractNum w:abstractNumId="4" w15:restartNumberingAfterBreak="0">
    <w:nsid w:val="78EA6A63"/>
    <w:multiLevelType w:val="multilevel"/>
    <w:tmpl w:val="2A9C282E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8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AFC"/>
    <w:rsid w:val="000032EB"/>
    <w:rsid w:val="00005B60"/>
    <w:rsid w:val="00036294"/>
    <w:rsid w:val="00036EE9"/>
    <w:rsid w:val="00036F8E"/>
    <w:rsid w:val="00094649"/>
    <w:rsid w:val="000A0836"/>
    <w:rsid w:val="000A7A51"/>
    <w:rsid w:val="000C1A9E"/>
    <w:rsid w:val="000C79D7"/>
    <w:rsid w:val="000D1AF1"/>
    <w:rsid w:val="000D66AE"/>
    <w:rsid w:val="000E4889"/>
    <w:rsid w:val="000F74EA"/>
    <w:rsid w:val="00106537"/>
    <w:rsid w:val="001071AD"/>
    <w:rsid w:val="00134DCA"/>
    <w:rsid w:val="0014438B"/>
    <w:rsid w:val="00145A3F"/>
    <w:rsid w:val="00167D53"/>
    <w:rsid w:val="00176ED3"/>
    <w:rsid w:val="00181566"/>
    <w:rsid w:val="00187386"/>
    <w:rsid w:val="001A6FC6"/>
    <w:rsid w:val="001B587E"/>
    <w:rsid w:val="001B7947"/>
    <w:rsid w:val="001C2C4B"/>
    <w:rsid w:val="001D46B1"/>
    <w:rsid w:val="001E06AF"/>
    <w:rsid w:val="001E0B29"/>
    <w:rsid w:val="001E4C8C"/>
    <w:rsid w:val="001E7339"/>
    <w:rsid w:val="002100EF"/>
    <w:rsid w:val="00210179"/>
    <w:rsid w:val="00223A64"/>
    <w:rsid w:val="002440E3"/>
    <w:rsid w:val="00245773"/>
    <w:rsid w:val="00252273"/>
    <w:rsid w:val="0025509B"/>
    <w:rsid w:val="002612A3"/>
    <w:rsid w:val="00265B69"/>
    <w:rsid w:val="00277227"/>
    <w:rsid w:val="00292AE1"/>
    <w:rsid w:val="002A0A6E"/>
    <w:rsid w:val="002A3017"/>
    <w:rsid w:val="002C265F"/>
    <w:rsid w:val="002C3D1A"/>
    <w:rsid w:val="002D1E00"/>
    <w:rsid w:val="003117AA"/>
    <w:rsid w:val="00323B2C"/>
    <w:rsid w:val="003426EB"/>
    <w:rsid w:val="00343074"/>
    <w:rsid w:val="003437D3"/>
    <w:rsid w:val="00350457"/>
    <w:rsid w:val="00373CE5"/>
    <w:rsid w:val="00373DC9"/>
    <w:rsid w:val="00383A4D"/>
    <w:rsid w:val="003A570C"/>
    <w:rsid w:val="003C56AF"/>
    <w:rsid w:val="003C6E8D"/>
    <w:rsid w:val="003D270B"/>
    <w:rsid w:val="003E4C9C"/>
    <w:rsid w:val="003E7FF2"/>
    <w:rsid w:val="004004D1"/>
    <w:rsid w:val="00401B72"/>
    <w:rsid w:val="00402E20"/>
    <w:rsid w:val="00403C77"/>
    <w:rsid w:val="00404A0A"/>
    <w:rsid w:val="00425842"/>
    <w:rsid w:val="004319E1"/>
    <w:rsid w:val="00433F95"/>
    <w:rsid w:val="00434529"/>
    <w:rsid w:val="0049257C"/>
    <w:rsid w:val="004A1DB4"/>
    <w:rsid w:val="004A440F"/>
    <w:rsid w:val="004B4397"/>
    <w:rsid w:val="004B760B"/>
    <w:rsid w:val="004C48D5"/>
    <w:rsid w:val="004C4EA5"/>
    <w:rsid w:val="004C7550"/>
    <w:rsid w:val="004D0576"/>
    <w:rsid w:val="004E2FB6"/>
    <w:rsid w:val="004E50D1"/>
    <w:rsid w:val="004F3155"/>
    <w:rsid w:val="004F3B23"/>
    <w:rsid w:val="00511E60"/>
    <w:rsid w:val="00513639"/>
    <w:rsid w:val="005354A8"/>
    <w:rsid w:val="00536F37"/>
    <w:rsid w:val="00544783"/>
    <w:rsid w:val="00560DCB"/>
    <w:rsid w:val="005643B8"/>
    <w:rsid w:val="00571F52"/>
    <w:rsid w:val="00583BAB"/>
    <w:rsid w:val="0058696F"/>
    <w:rsid w:val="005A0C30"/>
    <w:rsid w:val="005B5FF5"/>
    <w:rsid w:val="005E6A6C"/>
    <w:rsid w:val="00623AFE"/>
    <w:rsid w:val="006250A3"/>
    <w:rsid w:val="006329D3"/>
    <w:rsid w:val="00632F3C"/>
    <w:rsid w:val="00642946"/>
    <w:rsid w:val="00642B60"/>
    <w:rsid w:val="006443F8"/>
    <w:rsid w:val="00645088"/>
    <w:rsid w:val="00665ED1"/>
    <w:rsid w:val="0069449C"/>
    <w:rsid w:val="00694E24"/>
    <w:rsid w:val="006A0F21"/>
    <w:rsid w:val="006A31D4"/>
    <w:rsid w:val="006C0673"/>
    <w:rsid w:val="006C1719"/>
    <w:rsid w:val="006D0F35"/>
    <w:rsid w:val="006D77F8"/>
    <w:rsid w:val="006E326B"/>
    <w:rsid w:val="006F2A5B"/>
    <w:rsid w:val="00704F78"/>
    <w:rsid w:val="00705D7C"/>
    <w:rsid w:val="00754063"/>
    <w:rsid w:val="00764D2F"/>
    <w:rsid w:val="007869F7"/>
    <w:rsid w:val="007925C2"/>
    <w:rsid w:val="00795F55"/>
    <w:rsid w:val="00796DF0"/>
    <w:rsid w:val="007A415D"/>
    <w:rsid w:val="007B0455"/>
    <w:rsid w:val="007B367A"/>
    <w:rsid w:val="007B6BDB"/>
    <w:rsid w:val="007B7788"/>
    <w:rsid w:val="007C456D"/>
    <w:rsid w:val="007C66AD"/>
    <w:rsid w:val="007E0EFD"/>
    <w:rsid w:val="007F07F1"/>
    <w:rsid w:val="007F0ABE"/>
    <w:rsid w:val="007F6EBC"/>
    <w:rsid w:val="007F7F5F"/>
    <w:rsid w:val="0080592D"/>
    <w:rsid w:val="00815146"/>
    <w:rsid w:val="008249D0"/>
    <w:rsid w:val="00833B9F"/>
    <w:rsid w:val="0084202E"/>
    <w:rsid w:val="008510AA"/>
    <w:rsid w:val="0085587E"/>
    <w:rsid w:val="00887266"/>
    <w:rsid w:val="00895D63"/>
    <w:rsid w:val="008B3198"/>
    <w:rsid w:val="008C0CAF"/>
    <w:rsid w:val="008E7C7A"/>
    <w:rsid w:val="008F3AFC"/>
    <w:rsid w:val="00901D0A"/>
    <w:rsid w:val="0090303E"/>
    <w:rsid w:val="00931D19"/>
    <w:rsid w:val="00935FC1"/>
    <w:rsid w:val="00941264"/>
    <w:rsid w:val="00942A89"/>
    <w:rsid w:val="00947060"/>
    <w:rsid w:val="0095719A"/>
    <w:rsid w:val="00960345"/>
    <w:rsid w:val="0097078C"/>
    <w:rsid w:val="00982513"/>
    <w:rsid w:val="00984E7D"/>
    <w:rsid w:val="0098659A"/>
    <w:rsid w:val="00986C9E"/>
    <w:rsid w:val="00990C72"/>
    <w:rsid w:val="00994494"/>
    <w:rsid w:val="009B1B4C"/>
    <w:rsid w:val="009B24DF"/>
    <w:rsid w:val="009B5A2E"/>
    <w:rsid w:val="009D0685"/>
    <w:rsid w:val="009E0140"/>
    <w:rsid w:val="009E6E69"/>
    <w:rsid w:val="009F05B5"/>
    <w:rsid w:val="00A117AA"/>
    <w:rsid w:val="00A23A8A"/>
    <w:rsid w:val="00A35D53"/>
    <w:rsid w:val="00A53BD0"/>
    <w:rsid w:val="00A9369B"/>
    <w:rsid w:val="00AB650F"/>
    <w:rsid w:val="00AD0D93"/>
    <w:rsid w:val="00AF615B"/>
    <w:rsid w:val="00AF73B3"/>
    <w:rsid w:val="00B00C11"/>
    <w:rsid w:val="00B22C0B"/>
    <w:rsid w:val="00B235D5"/>
    <w:rsid w:val="00B60F9D"/>
    <w:rsid w:val="00B711A2"/>
    <w:rsid w:val="00B96BE2"/>
    <w:rsid w:val="00BA0A45"/>
    <w:rsid w:val="00BA1614"/>
    <w:rsid w:val="00BA752C"/>
    <w:rsid w:val="00BA79A0"/>
    <w:rsid w:val="00BD13D9"/>
    <w:rsid w:val="00BD6FAA"/>
    <w:rsid w:val="00BE5329"/>
    <w:rsid w:val="00BE6F23"/>
    <w:rsid w:val="00BF34E5"/>
    <w:rsid w:val="00BF705A"/>
    <w:rsid w:val="00C01ED1"/>
    <w:rsid w:val="00C06C69"/>
    <w:rsid w:val="00C20320"/>
    <w:rsid w:val="00C271FD"/>
    <w:rsid w:val="00C46900"/>
    <w:rsid w:val="00C50727"/>
    <w:rsid w:val="00C524B5"/>
    <w:rsid w:val="00C60E92"/>
    <w:rsid w:val="00C83903"/>
    <w:rsid w:val="00CA3AC1"/>
    <w:rsid w:val="00CB4E57"/>
    <w:rsid w:val="00CB6B4B"/>
    <w:rsid w:val="00CD0150"/>
    <w:rsid w:val="00CF09F4"/>
    <w:rsid w:val="00CF31E7"/>
    <w:rsid w:val="00CF3255"/>
    <w:rsid w:val="00D062CC"/>
    <w:rsid w:val="00D24E67"/>
    <w:rsid w:val="00D26226"/>
    <w:rsid w:val="00D26714"/>
    <w:rsid w:val="00D36FB4"/>
    <w:rsid w:val="00D46615"/>
    <w:rsid w:val="00D523E4"/>
    <w:rsid w:val="00D61707"/>
    <w:rsid w:val="00D764F5"/>
    <w:rsid w:val="00D80089"/>
    <w:rsid w:val="00D817D2"/>
    <w:rsid w:val="00D83084"/>
    <w:rsid w:val="00D91F33"/>
    <w:rsid w:val="00DB2A3C"/>
    <w:rsid w:val="00DC4E6F"/>
    <w:rsid w:val="00DC6345"/>
    <w:rsid w:val="00DD3033"/>
    <w:rsid w:val="00DD3CD4"/>
    <w:rsid w:val="00DD58F9"/>
    <w:rsid w:val="00DE20D6"/>
    <w:rsid w:val="00DE4905"/>
    <w:rsid w:val="00DF0551"/>
    <w:rsid w:val="00E046B8"/>
    <w:rsid w:val="00E04875"/>
    <w:rsid w:val="00E2728E"/>
    <w:rsid w:val="00E27E3F"/>
    <w:rsid w:val="00E35BD2"/>
    <w:rsid w:val="00E362E1"/>
    <w:rsid w:val="00E4299B"/>
    <w:rsid w:val="00E544D3"/>
    <w:rsid w:val="00E6311B"/>
    <w:rsid w:val="00E70491"/>
    <w:rsid w:val="00E71DC9"/>
    <w:rsid w:val="00E75E73"/>
    <w:rsid w:val="00E92680"/>
    <w:rsid w:val="00EB0FD5"/>
    <w:rsid w:val="00EB55FF"/>
    <w:rsid w:val="00ED2F36"/>
    <w:rsid w:val="00EE1C97"/>
    <w:rsid w:val="00EE2F08"/>
    <w:rsid w:val="00EE48AF"/>
    <w:rsid w:val="00EF3A20"/>
    <w:rsid w:val="00F02117"/>
    <w:rsid w:val="00F05994"/>
    <w:rsid w:val="00F500A5"/>
    <w:rsid w:val="00F503A4"/>
    <w:rsid w:val="00F6562A"/>
    <w:rsid w:val="00F81683"/>
    <w:rsid w:val="00F85BC3"/>
    <w:rsid w:val="00F93C58"/>
    <w:rsid w:val="00FA0E86"/>
    <w:rsid w:val="00FD670D"/>
    <w:rsid w:val="00FE3675"/>
    <w:rsid w:val="00FF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FC8940"/>
  <w15:docId w15:val="{6895B124-B679-4239-9048-BBBC2932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19E1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3198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1B4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599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4EA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4EA5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4C4EA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4EA5"/>
    <w:rPr>
      <w:rFonts w:ascii="Times New Roman" w:hAnsi="Times New Roman"/>
      <w:sz w:val="28"/>
    </w:rPr>
  </w:style>
  <w:style w:type="character" w:styleId="Hyperlink">
    <w:name w:val="Hyperlink"/>
    <w:basedOn w:val="DefaultParagraphFont"/>
    <w:uiPriority w:val="99"/>
    <w:unhideWhenUsed/>
    <w:rsid w:val="00F8168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81683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1E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E6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B31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B1B4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9B1B4C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F05994"/>
    <w:rPr>
      <w:rFonts w:asciiTheme="majorHAnsi" w:eastAsiaTheme="majorEastAsia" w:hAnsiTheme="majorHAnsi" w:cstheme="majorBidi"/>
      <w:i/>
      <w:iCs/>
      <w:color w:val="2E74B5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3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6542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1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40426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www.latvija.lv/Lvp/BUJEadrese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3050</Words>
  <Characters>1740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Ivars</dc:creator>
  <cp:lastModifiedBy>Nadežda Pūtele</cp:lastModifiedBy>
  <cp:revision>4</cp:revision>
  <dcterms:created xsi:type="dcterms:W3CDTF">2020-01-22T14:00:00Z</dcterms:created>
  <dcterms:modified xsi:type="dcterms:W3CDTF">2020-01-22T14:07:00Z</dcterms:modified>
</cp:coreProperties>
</file>