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3850" w14:textId="16B3E92C" w:rsidR="00A86434" w:rsidRDefault="00A8636B" w:rsidP="00A86434">
      <w:pPr>
        <w:jc w:val="center"/>
        <w:rPr>
          <w:sz w:val="32"/>
          <w:szCs w:val="32"/>
        </w:rPr>
      </w:pPr>
      <w:r>
        <w:rPr>
          <w:sz w:val="32"/>
          <w:szCs w:val="32"/>
        </w:rPr>
        <w:t>Apspriede ar piegādātājiem</w:t>
      </w:r>
    </w:p>
    <w:p w14:paraId="2F472B28" w14:textId="23739F34" w:rsidR="00D12878" w:rsidRPr="00A86434" w:rsidRDefault="00D12878" w:rsidP="00A86434">
      <w:pPr>
        <w:jc w:val="center"/>
        <w:rPr>
          <w:sz w:val="32"/>
          <w:szCs w:val="32"/>
        </w:rPr>
      </w:pPr>
      <w:r>
        <w:rPr>
          <w:sz w:val="32"/>
          <w:szCs w:val="32"/>
        </w:rPr>
        <w:t>(publikācija EIS</w:t>
      </w:r>
      <w:r w:rsidR="00A8636B" w:rsidRPr="00A8636B">
        <w:rPr>
          <w:sz w:val="32"/>
          <w:szCs w:val="32"/>
        </w:rPr>
        <w:t xml:space="preserve"> pircēja profilā</w:t>
      </w:r>
      <w:r w:rsidR="00A8636B">
        <w:t xml:space="preserve"> </w:t>
      </w:r>
      <w:r w:rsidR="00A8636B">
        <w:rPr>
          <w:noProof/>
          <w:lang w:eastAsia="lv-LV"/>
        </w:rPr>
        <w:drawing>
          <wp:inline distT="0" distB="0" distL="0" distR="0" wp14:anchorId="457CEB97" wp14:editId="6466EC33">
            <wp:extent cx="228600" cy="152400"/>
            <wp:effectExtent l="0" t="0" r="0" b="0"/>
            <wp:docPr id="404272966" name="Picture 404272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)</w:t>
      </w:r>
    </w:p>
    <w:p w14:paraId="584F6C0E" w14:textId="77777777" w:rsidR="00236107" w:rsidRDefault="00236107" w:rsidP="00236107">
      <w:pPr>
        <w:jc w:val="center"/>
      </w:pPr>
    </w:p>
    <w:p w14:paraId="646498DC" w14:textId="6C0C3346" w:rsidR="00076C6C" w:rsidRPr="00636F35" w:rsidRDefault="00076C6C" w:rsidP="00A31587">
      <w:pPr>
        <w:jc w:val="center"/>
        <w:rPr>
          <w:sz w:val="28"/>
          <w:szCs w:val="28"/>
        </w:rPr>
      </w:pPr>
      <w:r w:rsidRPr="00636F35">
        <w:rPr>
          <w:sz w:val="28"/>
          <w:szCs w:val="28"/>
        </w:rPr>
        <w:t>I. Publikācijas izveide</w:t>
      </w:r>
    </w:p>
    <w:p w14:paraId="0249299C" w14:textId="77777777" w:rsidR="00076C6C" w:rsidRDefault="00236107" w:rsidP="00A31587">
      <w:r>
        <w:t>Darbības veic lietotājs ar lomu “E-konkursu administrators”.</w:t>
      </w:r>
    </w:p>
    <w:p w14:paraId="4BCDF88C" w14:textId="77777777" w:rsidR="00236107" w:rsidRDefault="00236107"/>
    <w:p w14:paraId="37C4F984" w14:textId="2620C6D8" w:rsidR="00696EE2" w:rsidRDefault="00696EE2" w:rsidP="0050079E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Lai </w:t>
      </w:r>
      <w:r w:rsidR="00504313">
        <w:t>izveidotu jaunu publikāciju par apspriedi ar piegādātājiem</w:t>
      </w:r>
      <w:r>
        <w:t xml:space="preserve">, izvēlas darbību “Izveidot jaunu EIS publikāciju”. </w:t>
      </w:r>
    </w:p>
    <w:p w14:paraId="1AA50197" w14:textId="22B5739B" w:rsidR="00696EE2" w:rsidRDefault="00415588">
      <w:r>
        <w:rPr>
          <w:noProof/>
        </w:rPr>
        <w:drawing>
          <wp:inline distT="0" distB="0" distL="0" distR="0" wp14:anchorId="4EF753DD" wp14:editId="51D2E559">
            <wp:extent cx="5727700" cy="1924050"/>
            <wp:effectExtent l="0" t="0" r="6350" b="0"/>
            <wp:docPr id="33557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AC004" w14:textId="77777777" w:rsidR="00696EE2" w:rsidRDefault="00696EE2"/>
    <w:p w14:paraId="33E54234" w14:textId="7A7D73A4" w:rsidR="00FA2680" w:rsidRDefault="00064F75" w:rsidP="0050079E">
      <w:pPr>
        <w:pStyle w:val="ListParagraph"/>
        <w:numPr>
          <w:ilvl w:val="0"/>
          <w:numId w:val="1"/>
        </w:numPr>
        <w:ind w:left="284" w:hanging="284"/>
      </w:pPr>
      <w:r>
        <w:t>Tiek atvērt</w:t>
      </w:r>
      <w:r w:rsidR="00FA2680">
        <w:t>a</w:t>
      </w:r>
      <w:r>
        <w:t xml:space="preserve"> jauna ekrānforma “Pam</w:t>
      </w:r>
      <w:r w:rsidR="00E64D1A">
        <w:t>a</w:t>
      </w:r>
      <w:r>
        <w:t>tdati”</w:t>
      </w:r>
      <w:r w:rsidR="00FA2680">
        <w:t>:</w:t>
      </w:r>
    </w:p>
    <w:p w14:paraId="7D299C2E" w14:textId="75CD5601" w:rsidR="00696EE2" w:rsidRDefault="00FA2680" w:rsidP="0050079E">
      <w:pPr>
        <w:ind w:left="284"/>
        <w:jc w:val="both"/>
      </w:pPr>
      <w:r>
        <w:t>Izvēršamajā blokā “Iepirkuma pamatdati”</w:t>
      </w:r>
      <w:r w:rsidR="00064F75">
        <w:t xml:space="preserve"> </w:t>
      </w:r>
      <w:r w:rsidR="00D54E67">
        <w:t>nepieciešams norādīt</w:t>
      </w:r>
      <w:r w:rsidR="00064F75">
        <w:t xml:space="preserve"> </w:t>
      </w:r>
      <w:r w:rsidR="0050079E">
        <w:t xml:space="preserve">visu </w:t>
      </w:r>
      <w:r w:rsidR="00064F75">
        <w:t>o</w:t>
      </w:r>
      <w:r w:rsidR="00A97755">
        <w:t>bligāti aizpildā</w:t>
      </w:r>
      <w:r w:rsidR="0050079E">
        <w:t>mo informāciju.</w:t>
      </w:r>
      <w:r w:rsidR="00A97755">
        <w:t xml:space="preserve"> </w:t>
      </w:r>
      <w:r w:rsidR="0050079E">
        <w:t>Izvēršamajā blokā “Pasūtītājs” i</w:t>
      </w:r>
      <w:r w:rsidR="00DE666D">
        <w:t>r iespējams norādīt</w:t>
      </w:r>
      <w:r w:rsidR="00DB1F73">
        <w:t xml:space="preserve"> par iepirkumu atbildīgo kontaktpersonu, nospiežot uz </w:t>
      </w:r>
      <w:r w:rsidR="0050079E">
        <w:t xml:space="preserve">pluszīmes ikonu </w:t>
      </w:r>
      <w:r w:rsidR="00DB1F73">
        <w:t xml:space="preserve">“Izveidot vai pievienot jaunu kontaktpersonu”. </w:t>
      </w:r>
      <w:r w:rsidR="00A97755">
        <w:t>Pēc informācijas norādīšanas nospiež pogu “Saglabāt”.</w:t>
      </w:r>
    </w:p>
    <w:p w14:paraId="39F5E1AE" w14:textId="77777777" w:rsidR="00541BAB" w:rsidRDefault="00541BAB" w:rsidP="0050079E">
      <w:pPr>
        <w:ind w:left="284"/>
        <w:jc w:val="both"/>
      </w:pPr>
    </w:p>
    <w:p w14:paraId="40598201" w14:textId="13B287ED" w:rsidR="00A97755" w:rsidRDefault="0050079E">
      <w:r>
        <w:rPr>
          <w:noProof/>
        </w:rPr>
        <w:drawing>
          <wp:inline distT="0" distB="0" distL="0" distR="0" wp14:anchorId="464999C6" wp14:editId="6ECF81B9">
            <wp:extent cx="6083300" cy="3456881"/>
            <wp:effectExtent l="0" t="0" r="0" b="0"/>
            <wp:docPr id="594282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722" cy="346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D2C6A" w14:textId="77777777" w:rsidR="00444751" w:rsidRDefault="00444751"/>
    <w:p w14:paraId="73FDC65B" w14:textId="7D18E250" w:rsidR="00A97755" w:rsidRDefault="0099255A" w:rsidP="00A95061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Šķirklī “Iepirkumu komisija” izvēlas “Pilns sastāvs” vai “Viens atbildīgais”. </w:t>
      </w:r>
    </w:p>
    <w:p w14:paraId="457757E3" w14:textId="77777777" w:rsidR="008013AA" w:rsidRDefault="00D34027" w:rsidP="008013AA">
      <w:pPr>
        <w:ind w:left="284"/>
        <w:jc w:val="both"/>
      </w:pPr>
      <w:r>
        <w:t xml:space="preserve">Nospiež uz meklēšanas simbola un ieceļ </w:t>
      </w:r>
      <w:r w:rsidR="008013AA">
        <w:t xml:space="preserve">lietotāju </w:t>
      </w:r>
      <w:r>
        <w:t>kādā iepirkuma komisijas lomā</w:t>
      </w:r>
      <w:r w:rsidR="008013AA">
        <w:t xml:space="preserve">, spiežot uz simbolu “Iecelt”. </w:t>
      </w:r>
    </w:p>
    <w:p w14:paraId="2E20C658" w14:textId="70ECBF64" w:rsidR="008013AA" w:rsidRDefault="008013AA" w:rsidP="008013AA">
      <w:pPr>
        <w:ind w:left="284"/>
        <w:jc w:val="both"/>
      </w:pPr>
      <w:r>
        <w:t>Pēc komisijas locekļu norādīšanas nospiež pogu “Paziņot komisijai / atbildīgajam”.</w:t>
      </w:r>
    </w:p>
    <w:p w14:paraId="270BC6CD" w14:textId="77777777" w:rsidR="008013AA" w:rsidRDefault="008013AA" w:rsidP="008013AA">
      <w:pPr>
        <w:ind w:left="284"/>
        <w:jc w:val="both"/>
      </w:pPr>
    </w:p>
    <w:p w14:paraId="12CD348A" w14:textId="699F8059" w:rsidR="008013AA" w:rsidRDefault="008013AA" w:rsidP="008013AA">
      <w:pPr>
        <w:ind w:left="284"/>
        <w:jc w:val="both"/>
      </w:pPr>
      <w:r w:rsidRPr="008013AA">
        <w:t>Pēc paziņošanas komisijai/ atbildīgajam iepirkuma komisijas veidu (Pilns sastāvs vai Viens atbildīgais) mainīt nevar.</w:t>
      </w:r>
    </w:p>
    <w:p w14:paraId="25E4F968" w14:textId="77777777" w:rsidR="00541BAB" w:rsidRDefault="00541BAB" w:rsidP="008013AA">
      <w:pPr>
        <w:ind w:left="284"/>
        <w:jc w:val="both"/>
      </w:pPr>
    </w:p>
    <w:p w14:paraId="3B932B5B" w14:textId="28DF9F0A" w:rsidR="008013AA" w:rsidRDefault="008013AA" w:rsidP="008013AA">
      <w:pPr>
        <w:ind w:left="284"/>
        <w:jc w:val="both"/>
      </w:pPr>
      <w:r>
        <w:t>Izvēršamajā blokā “Lēmumi par komisiju” ir iespējams pievienot iekšējo normatīvo aktu par iepirkuma komisijas izveidošanu, nospiežot uz simbola “Pievienot jaunu lēmumu”.</w:t>
      </w:r>
    </w:p>
    <w:p w14:paraId="43347B85" w14:textId="77777777" w:rsidR="008013AA" w:rsidRDefault="008013AA" w:rsidP="00D34027">
      <w:pPr>
        <w:ind w:left="284"/>
        <w:jc w:val="both"/>
      </w:pPr>
    </w:p>
    <w:p w14:paraId="69AF87D1" w14:textId="14D396B3" w:rsidR="006F1D8A" w:rsidRDefault="006F1D8A" w:rsidP="0050079E">
      <w:pPr>
        <w:ind w:left="284"/>
        <w:jc w:val="both"/>
      </w:pPr>
      <w:r>
        <w:t>Šķirklī “Iepirkuma komisija” norādītie lietotāji varēs piekļūt visai iepirkuma informācijai un dokumentiem.</w:t>
      </w:r>
    </w:p>
    <w:p w14:paraId="51AEAD52" w14:textId="77777777" w:rsidR="00D41730" w:rsidRDefault="00D41730" w:rsidP="0050079E">
      <w:pPr>
        <w:ind w:left="284"/>
        <w:jc w:val="both"/>
      </w:pPr>
    </w:p>
    <w:p w14:paraId="5A855094" w14:textId="46ACE0DC" w:rsidR="00D41730" w:rsidRDefault="00D34027" w:rsidP="00D34027">
      <w:pPr>
        <w:jc w:val="both"/>
      </w:pPr>
      <w:r>
        <w:rPr>
          <w:noProof/>
        </w:rPr>
        <w:drawing>
          <wp:inline distT="0" distB="0" distL="0" distR="0" wp14:anchorId="4A3EAD50" wp14:editId="50CD4B53">
            <wp:extent cx="6055344" cy="3168650"/>
            <wp:effectExtent l="0" t="0" r="3175" b="0"/>
            <wp:docPr id="13826019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431" cy="318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6ECB1" w14:textId="77777777" w:rsidR="006F1D8A" w:rsidRDefault="006F1D8A"/>
    <w:p w14:paraId="7233097B" w14:textId="6866FAC3" w:rsidR="00720184" w:rsidRPr="00636F35" w:rsidRDefault="00720184" w:rsidP="00A31587">
      <w:pPr>
        <w:jc w:val="center"/>
        <w:rPr>
          <w:sz w:val="28"/>
          <w:szCs w:val="28"/>
        </w:rPr>
      </w:pPr>
      <w:r w:rsidRPr="00636F35">
        <w:rPr>
          <w:sz w:val="28"/>
          <w:szCs w:val="28"/>
        </w:rPr>
        <w:t xml:space="preserve">II. Publikācijas </w:t>
      </w:r>
      <w:r w:rsidR="008013AA">
        <w:rPr>
          <w:sz w:val="28"/>
          <w:szCs w:val="28"/>
        </w:rPr>
        <w:t>datu papildināšana</w:t>
      </w:r>
    </w:p>
    <w:p w14:paraId="2AFFA2F4" w14:textId="77777777" w:rsidR="00720184" w:rsidRDefault="00513712" w:rsidP="00720184">
      <w:r>
        <w:t>Pamatd</w:t>
      </w:r>
      <w:r w:rsidR="00720184">
        <w:t>arbības veic lietotājs ar lomu “Iepirkumu komisijas dalībnieks”.</w:t>
      </w:r>
    </w:p>
    <w:p w14:paraId="2C1B3A71" w14:textId="77777777" w:rsidR="006F1D8A" w:rsidRDefault="001349AC">
      <w:r>
        <w:t>Iepirkuma statuss ir “Neizsludināts”</w:t>
      </w:r>
      <w:r w:rsidR="00444751">
        <w:t>.</w:t>
      </w:r>
    </w:p>
    <w:p w14:paraId="70DD1A3F" w14:textId="77777777" w:rsidR="00541BAB" w:rsidRDefault="00541BAB"/>
    <w:p w14:paraId="0E6A0F9E" w14:textId="1DD3B613" w:rsidR="00CF759E" w:rsidRDefault="00CF759E" w:rsidP="00CF759E">
      <w:pPr>
        <w:pStyle w:val="ListParagraph"/>
        <w:numPr>
          <w:ilvl w:val="0"/>
          <w:numId w:val="1"/>
        </w:numPr>
        <w:ind w:left="284" w:hanging="284"/>
        <w:jc w:val="both"/>
      </w:pPr>
      <w:r>
        <w:t>Š</w:t>
      </w:r>
      <w:r w:rsidRPr="00CF759E">
        <w:t xml:space="preserve">ķirkļa </w:t>
      </w:r>
      <w:r>
        <w:t>“</w:t>
      </w:r>
      <w:r w:rsidRPr="00CF759E">
        <w:t>Pamatdati</w:t>
      </w:r>
      <w:r>
        <w:t xml:space="preserve">” </w:t>
      </w:r>
      <w:r w:rsidRPr="00CF759E">
        <w:t>gandrīz visu lauku vērtību ievade netiek obligāti pieprasīta (lauki nav atzīmēti ar zvaigznīti). Līdz ar to ir iespēja norādīt tikai nepieciešamo informāciju.</w:t>
      </w:r>
    </w:p>
    <w:p w14:paraId="51E53ACC" w14:textId="0F647C39" w:rsidR="002D4E18" w:rsidRDefault="00CF759E" w:rsidP="00CF759E">
      <w:pPr>
        <w:ind w:left="284"/>
        <w:jc w:val="both"/>
      </w:pPr>
      <w:r>
        <w:t>Piemēram, š</w:t>
      </w:r>
      <w:r w:rsidR="002D4E18">
        <w:t xml:space="preserve">ķirkļa “Pamatdati” izvēršamajā blokā “Iepirkuma pamatdati” ir iespējams norādīt </w:t>
      </w:r>
      <w:r w:rsidR="00326D76">
        <w:t>saiti uz publikācijas vietu Iepirkumu uzraudzības biroja (IUB PVS) vietnē</w:t>
      </w:r>
      <w:r>
        <w:t>.</w:t>
      </w:r>
    </w:p>
    <w:p w14:paraId="07535C23" w14:textId="77777777" w:rsidR="00541BAB" w:rsidRDefault="00541BAB" w:rsidP="00CF759E">
      <w:pPr>
        <w:ind w:left="284"/>
        <w:jc w:val="both"/>
      </w:pPr>
    </w:p>
    <w:p w14:paraId="65A9B9A1" w14:textId="162E5C0A" w:rsidR="00CF759E" w:rsidRDefault="00CF759E" w:rsidP="00CF759E">
      <w:pPr>
        <w:jc w:val="both"/>
      </w:pPr>
      <w:r>
        <w:rPr>
          <w:noProof/>
        </w:rPr>
        <w:lastRenderedPageBreak/>
        <w:drawing>
          <wp:inline distT="0" distB="0" distL="0" distR="0" wp14:anchorId="4B7F995A" wp14:editId="3BA26271">
            <wp:extent cx="5689600" cy="3885580"/>
            <wp:effectExtent l="0" t="0" r="6350" b="635"/>
            <wp:docPr id="12513693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95" cy="393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5F27E" w14:textId="77777777" w:rsidR="004C48F7" w:rsidRDefault="004C48F7"/>
    <w:p w14:paraId="2CF5FE0D" w14:textId="6AF6570F" w:rsidR="00522869" w:rsidRDefault="00522869" w:rsidP="007F13FF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Šķirkļa “Pamatdati” </w:t>
      </w:r>
      <w:r w:rsidR="007F13FF">
        <w:t>i</w:t>
      </w:r>
      <w:r>
        <w:t xml:space="preserve">zvēršamajā blokā “Termiņi” ir </w:t>
      </w:r>
      <w:r w:rsidR="002D4E18">
        <w:t>iespējams norādīt</w:t>
      </w:r>
      <w:r>
        <w:t xml:space="preserve"> termiņu</w:t>
      </w:r>
      <w:r w:rsidR="00636FA0">
        <w:t>s</w:t>
      </w:r>
      <w:r>
        <w:t>.</w:t>
      </w:r>
    </w:p>
    <w:p w14:paraId="741FFCC1" w14:textId="1B7FC906" w:rsidR="0096543A" w:rsidRDefault="007F13FF" w:rsidP="00415588">
      <w:pPr>
        <w:ind w:left="284"/>
        <w:jc w:val="both"/>
      </w:pPr>
      <w:r>
        <w:t>Ievadl</w:t>
      </w:r>
      <w:r w:rsidR="00522869">
        <w:t>aukā “Apspriedes ar piegādātājiem datums” nor</w:t>
      </w:r>
      <w:r w:rsidR="0096543A">
        <w:t>āda plānoto datumu un laiku.</w:t>
      </w:r>
    </w:p>
    <w:p w14:paraId="0A30759F" w14:textId="3ADCAAE9" w:rsidR="00522869" w:rsidRDefault="0096543A" w:rsidP="00415588">
      <w:pPr>
        <w:ind w:left="284"/>
        <w:jc w:val="both"/>
      </w:pPr>
      <w:r>
        <w:t xml:space="preserve">Pēc datuma un laika </w:t>
      </w:r>
      <w:r w:rsidR="007F13FF">
        <w:t>norād</w:t>
      </w:r>
      <w:r>
        <w:t>īšanas, nospiež uz simbola “Piesaistīt izvēlēto datumu”.</w:t>
      </w:r>
    </w:p>
    <w:p w14:paraId="4C5DE424" w14:textId="77777777" w:rsidR="007F13FF" w:rsidRDefault="007F13FF" w:rsidP="007F13FF">
      <w:pPr>
        <w:ind w:left="284"/>
        <w:jc w:val="both"/>
      </w:pPr>
    </w:p>
    <w:p w14:paraId="001D11D5" w14:textId="60EE0FC8" w:rsidR="0096543A" w:rsidRDefault="00636FA0">
      <w:r>
        <w:rPr>
          <w:noProof/>
        </w:rPr>
        <w:drawing>
          <wp:inline distT="0" distB="0" distL="0" distR="0" wp14:anchorId="2277D93D" wp14:editId="13EF5DCC">
            <wp:extent cx="5727700" cy="1993900"/>
            <wp:effectExtent l="0" t="0" r="6350" b="6350"/>
            <wp:docPr id="193577766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CD46" w14:textId="77777777" w:rsidR="00FF3F70" w:rsidRDefault="00FF3F70"/>
    <w:p w14:paraId="556CFFC6" w14:textId="482CBCE8" w:rsidR="0096543A" w:rsidRDefault="0096543A" w:rsidP="00415588">
      <w:pPr>
        <w:ind w:left="284"/>
      </w:pPr>
      <w:r>
        <w:t>Norādītais datums un laiks tiek pievienots sarakstam.</w:t>
      </w:r>
    </w:p>
    <w:p w14:paraId="6FEF1580" w14:textId="77777777" w:rsidR="007F13FF" w:rsidRDefault="007F13FF" w:rsidP="007F13FF">
      <w:pPr>
        <w:ind w:left="284"/>
      </w:pPr>
    </w:p>
    <w:p w14:paraId="519D3535" w14:textId="5F215993" w:rsidR="0096543A" w:rsidRDefault="007B0B9C">
      <w:r>
        <w:rPr>
          <w:noProof/>
        </w:rPr>
        <w:lastRenderedPageBreak/>
        <w:drawing>
          <wp:inline distT="0" distB="0" distL="0" distR="0" wp14:anchorId="2F3D63D9" wp14:editId="59885B3F">
            <wp:extent cx="5727700" cy="2012950"/>
            <wp:effectExtent l="0" t="0" r="6350" b="6350"/>
            <wp:docPr id="116030267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F09C6" w14:textId="77777777" w:rsidR="00444751" w:rsidRDefault="00444751"/>
    <w:p w14:paraId="0948731D" w14:textId="556CFF3E" w:rsidR="007849C7" w:rsidRDefault="007849C7" w:rsidP="007B0B9C">
      <w:pPr>
        <w:pStyle w:val="ListParagraph"/>
        <w:numPr>
          <w:ilvl w:val="0"/>
          <w:numId w:val="1"/>
        </w:numPr>
        <w:ind w:left="284" w:hanging="284"/>
        <w:jc w:val="both"/>
      </w:pPr>
      <w:r>
        <w:t>Pēc visas nepieciešamās informācijas norādīšanas nospiež pogu “Saglabāt melnrakstu”.</w:t>
      </w:r>
    </w:p>
    <w:p w14:paraId="31C64ACE" w14:textId="77777777" w:rsidR="006E0F7D" w:rsidRDefault="006E0F7D" w:rsidP="006E0F7D">
      <w:pPr>
        <w:pStyle w:val="ListParagraph"/>
        <w:ind w:left="284"/>
        <w:jc w:val="both"/>
      </w:pPr>
    </w:p>
    <w:p w14:paraId="3B74DE40" w14:textId="77777777" w:rsidR="007849C7" w:rsidRDefault="007849C7">
      <w:r>
        <w:rPr>
          <w:noProof/>
          <w:lang w:eastAsia="lv-LV"/>
        </w:rPr>
        <w:drawing>
          <wp:inline distT="0" distB="0" distL="0" distR="0" wp14:anchorId="61468485" wp14:editId="6956C1D9">
            <wp:extent cx="5724525" cy="2476500"/>
            <wp:effectExtent l="0" t="0" r="9525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F185E" w14:textId="77777777" w:rsidR="007849C7" w:rsidRDefault="007849C7"/>
    <w:p w14:paraId="5FD67CD4" w14:textId="664BE213" w:rsidR="007849C7" w:rsidRDefault="0086610E" w:rsidP="00563FCA">
      <w:pPr>
        <w:pStyle w:val="ListParagraph"/>
        <w:numPr>
          <w:ilvl w:val="0"/>
          <w:numId w:val="1"/>
        </w:numPr>
        <w:ind w:left="284" w:hanging="284"/>
        <w:jc w:val="both"/>
      </w:pPr>
      <w:r>
        <w:t>Šķirkļa “Dokumenti” izvēršamajā blokā “Aktuālie iepirkuma dokumenti” ir iespējams pievienot dokument</w:t>
      </w:r>
      <w:r w:rsidR="007849C7">
        <w:t>a datni. Pēc profila publicēšanas datne būs apskatāma visiem interesentiem.</w:t>
      </w:r>
    </w:p>
    <w:p w14:paraId="427FB113" w14:textId="27F47C40" w:rsidR="00295227" w:rsidRDefault="007849C7" w:rsidP="00563FCA">
      <w:pPr>
        <w:pStyle w:val="ListParagraph"/>
        <w:numPr>
          <w:ilvl w:val="1"/>
          <w:numId w:val="1"/>
        </w:numPr>
        <w:ind w:left="851" w:hanging="567"/>
        <w:jc w:val="both"/>
      </w:pPr>
      <w:r>
        <w:t>N</w:t>
      </w:r>
      <w:r w:rsidR="0086610E">
        <w:t>ospiežot uz simbola “Pievienot jaunu dokumentu”.</w:t>
      </w:r>
      <w:r w:rsidR="00295227">
        <w:t xml:space="preserve"> </w:t>
      </w:r>
    </w:p>
    <w:p w14:paraId="30EA64F8" w14:textId="77777777" w:rsidR="00563FCA" w:rsidRDefault="00563FCA" w:rsidP="00563FCA">
      <w:pPr>
        <w:pStyle w:val="ListParagraph"/>
        <w:ind w:left="851"/>
        <w:jc w:val="both"/>
      </w:pPr>
    </w:p>
    <w:p w14:paraId="37B8FA7F" w14:textId="77777777" w:rsidR="00295227" w:rsidRDefault="00854638" w:rsidP="00295227">
      <w:r>
        <w:rPr>
          <w:noProof/>
          <w:lang w:eastAsia="lv-LV"/>
        </w:rPr>
        <w:drawing>
          <wp:inline distT="0" distB="0" distL="0" distR="0" wp14:anchorId="40579260" wp14:editId="7A973FF8">
            <wp:extent cx="5724525" cy="1162050"/>
            <wp:effectExtent l="0" t="0" r="9525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EB6BF" w14:textId="77777777" w:rsidR="00444751" w:rsidRDefault="00444751" w:rsidP="00295227"/>
    <w:p w14:paraId="366404F9" w14:textId="69ED2962" w:rsidR="00295227" w:rsidRDefault="00076C6C" w:rsidP="00563FCA">
      <w:pPr>
        <w:pStyle w:val="ListParagraph"/>
        <w:numPr>
          <w:ilvl w:val="1"/>
          <w:numId w:val="1"/>
        </w:numPr>
        <w:ind w:left="851" w:hanging="567"/>
        <w:jc w:val="both"/>
      </w:pPr>
      <w:r>
        <w:t>U</w:t>
      </w:r>
      <w:r w:rsidR="00295227">
        <w:t>znirstošajā logā “Dokumenta uzturēšana” norāda nepieciešamo informāciju par dokumentu, kā ari pievieno datni.</w:t>
      </w:r>
      <w:r>
        <w:t xml:space="preserve"> </w:t>
      </w:r>
      <w:r w:rsidR="00EE149A">
        <w:t xml:space="preserve">Ir iespējams pievienot vairākas datnes. </w:t>
      </w:r>
      <w:r>
        <w:t xml:space="preserve">Nospiež pogu </w:t>
      </w:r>
      <w:r w:rsidR="00EE149A">
        <w:t>“Saglabāt”.</w:t>
      </w:r>
    </w:p>
    <w:p w14:paraId="68F81C38" w14:textId="77777777" w:rsidR="002D02A5" w:rsidRDefault="002D02A5" w:rsidP="002D02A5">
      <w:pPr>
        <w:pStyle w:val="ListParagraph"/>
        <w:ind w:left="851"/>
        <w:jc w:val="both"/>
      </w:pPr>
    </w:p>
    <w:p w14:paraId="0BA35622" w14:textId="13E6DD1C" w:rsidR="002D02A5" w:rsidRDefault="002D02A5" w:rsidP="002D02A5">
      <w:pPr>
        <w:pStyle w:val="ListParagraph"/>
        <w:ind w:left="851" w:hanging="851"/>
        <w:jc w:val="both"/>
      </w:pPr>
      <w:r>
        <w:rPr>
          <w:noProof/>
        </w:rPr>
        <w:lastRenderedPageBreak/>
        <w:drawing>
          <wp:inline distT="0" distB="0" distL="0" distR="0" wp14:anchorId="61C9AA1D" wp14:editId="2B17F2E0">
            <wp:extent cx="5731510" cy="3935095"/>
            <wp:effectExtent l="0" t="0" r="2540" b="8255"/>
            <wp:docPr id="3016048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C1FF" w14:textId="77777777" w:rsidR="002D02A5" w:rsidRDefault="002D02A5" w:rsidP="002D02A5">
      <w:pPr>
        <w:pStyle w:val="ListParagraph"/>
        <w:ind w:left="851" w:hanging="851"/>
        <w:jc w:val="both"/>
      </w:pPr>
    </w:p>
    <w:p w14:paraId="1FC6C654" w14:textId="3D2D8C65" w:rsidR="00295227" w:rsidRDefault="00076C6C" w:rsidP="002D02A5">
      <w:pPr>
        <w:pStyle w:val="ListParagraph"/>
        <w:numPr>
          <w:ilvl w:val="1"/>
          <w:numId w:val="1"/>
        </w:numPr>
        <w:ind w:left="851" w:hanging="567"/>
        <w:jc w:val="both"/>
      </w:pPr>
      <w:r>
        <w:t>Tiek attēlota informācija par pievienoto dokumentu.</w:t>
      </w:r>
    </w:p>
    <w:p w14:paraId="27B35391" w14:textId="0E655411" w:rsidR="0086610E" w:rsidRDefault="0086610E">
      <w:pPr>
        <w:rPr>
          <w:noProof/>
          <w:lang w:eastAsia="lv-LV"/>
        </w:rPr>
      </w:pPr>
    </w:p>
    <w:p w14:paraId="7D8B1918" w14:textId="10FA0D1A" w:rsidR="002D02A5" w:rsidRDefault="002D02A5">
      <w:r>
        <w:rPr>
          <w:noProof/>
        </w:rPr>
        <w:drawing>
          <wp:inline distT="0" distB="0" distL="0" distR="0" wp14:anchorId="152E304F" wp14:editId="01D2D9CC">
            <wp:extent cx="5727700" cy="1549400"/>
            <wp:effectExtent l="0" t="0" r="6350" b="0"/>
            <wp:docPr id="3004222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9AD5B" w14:textId="77777777" w:rsidR="00444751" w:rsidRDefault="00444751"/>
    <w:p w14:paraId="7B21CEDA" w14:textId="7E5416E2" w:rsidR="00076C6C" w:rsidRPr="00636F35" w:rsidRDefault="00076C6C" w:rsidP="002011FB">
      <w:pPr>
        <w:jc w:val="center"/>
        <w:rPr>
          <w:sz w:val="28"/>
          <w:szCs w:val="28"/>
        </w:rPr>
      </w:pPr>
      <w:r w:rsidRPr="00636F35">
        <w:rPr>
          <w:sz w:val="28"/>
          <w:szCs w:val="28"/>
        </w:rPr>
        <w:t>II</w:t>
      </w:r>
      <w:r w:rsidR="007849C7" w:rsidRPr="00636F35">
        <w:rPr>
          <w:sz w:val="28"/>
          <w:szCs w:val="28"/>
        </w:rPr>
        <w:t>I</w:t>
      </w:r>
      <w:r w:rsidRPr="00636F35">
        <w:rPr>
          <w:sz w:val="28"/>
          <w:szCs w:val="28"/>
        </w:rPr>
        <w:t xml:space="preserve">. </w:t>
      </w:r>
      <w:r w:rsidR="007849C7" w:rsidRPr="00636F35">
        <w:rPr>
          <w:sz w:val="28"/>
          <w:szCs w:val="28"/>
        </w:rPr>
        <w:t>P</w:t>
      </w:r>
      <w:r w:rsidR="002D02A5">
        <w:rPr>
          <w:sz w:val="28"/>
          <w:szCs w:val="28"/>
        </w:rPr>
        <w:t>ublikācijas</w:t>
      </w:r>
      <w:r w:rsidR="007849C7" w:rsidRPr="00636F35">
        <w:rPr>
          <w:sz w:val="28"/>
          <w:szCs w:val="28"/>
        </w:rPr>
        <w:t xml:space="preserve"> publicēšana</w:t>
      </w:r>
    </w:p>
    <w:p w14:paraId="5B0980CC" w14:textId="7AFEE747" w:rsidR="00E95C32" w:rsidRDefault="00E95C32"/>
    <w:p w14:paraId="6BBD04B4" w14:textId="77777777" w:rsidR="002011FB" w:rsidRDefault="002011FB" w:rsidP="002011FB">
      <w:r>
        <w:t>Darbības veic lietotājs ar lomu “Iepirkumu komisijas dalībnieks”.</w:t>
      </w:r>
    </w:p>
    <w:p w14:paraId="4D6A5ADC" w14:textId="77777777" w:rsidR="00444751" w:rsidRDefault="00444751"/>
    <w:p w14:paraId="19728B7C" w14:textId="02C57E01" w:rsidR="00076C6C" w:rsidRDefault="003766E7" w:rsidP="003766E7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Lai publicētu apspriedi ar piegādātājiem šķirklī </w:t>
      </w:r>
      <w:r w:rsidR="00076C6C">
        <w:t xml:space="preserve">“Pamatdati” </w:t>
      </w:r>
      <w:r>
        <w:t>nospiež pogu “Saglabāt un publicēt”</w:t>
      </w:r>
      <w:r w:rsidR="00076C6C">
        <w:t>.</w:t>
      </w:r>
    </w:p>
    <w:p w14:paraId="5A5DD875" w14:textId="43925792" w:rsidR="00076C6C" w:rsidRDefault="00076C6C"/>
    <w:p w14:paraId="47DDCCDF" w14:textId="77777777" w:rsidR="004147EC" w:rsidRDefault="004147EC">
      <w:r>
        <w:rPr>
          <w:noProof/>
          <w:lang w:eastAsia="lv-LV"/>
        </w:rPr>
        <w:lastRenderedPageBreak/>
        <w:drawing>
          <wp:inline distT="0" distB="0" distL="0" distR="0" wp14:anchorId="12CFA13F" wp14:editId="4269B658">
            <wp:extent cx="5734050" cy="24955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97071" w14:textId="77777777" w:rsidR="00E95C32" w:rsidRDefault="00E95C32"/>
    <w:p w14:paraId="3C2B58F9" w14:textId="20735ABC" w:rsidR="00E95C32" w:rsidRDefault="004A740E" w:rsidP="003766E7">
      <w:pPr>
        <w:pStyle w:val="ListParagraph"/>
        <w:numPr>
          <w:ilvl w:val="0"/>
          <w:numId w:val="1"/>
        </w:numPr>
        <w:ind w:left="284" w:hanging="284"/>
        <w:jc w:val="both"/>
      </w:pPr>
      <w:r>
        <w:t>Tiek atvērts uznirstošais logs “Sistēmas brīdinājums”. Ja piekrīt</w:t>
      </w:r>
      <w:r w:rsidR="00BB11CE">
        <w:t>at</w:t>
      </w:r>
      <w:r>
        <w:t>, nospiež</w:t>
      </w:r>
      <w:r w:rsidR="00BB11CE">
        <w:t>at</w:t>
      </w:r>
      <w:r>
        <w:t xml:space="preserve"> pogu “Turpināt”.</w:t>
      </w:r>
    </w:p>
    <w:p w14:paraId="66010B97" w14:textId="77777777" w:rsidR="00883793" w:rsidRDefault="00883793"/>
    <w:p w14:paraId="51269677" w14:textId="77777777" w:rsidR="004A740E" w:rsidRDefault="00BB11CE">
      <w:r>
        <w:rPr>
          <w:noProof/>
          <w:lang w:eastAsia="lv-LV"/>
        </w:rPr>
        <w:drawing>
          <wp:inline distT="0" distB="0" distL="0" distR="0" wp14:anchorId="6C851A3E" wp14:editId="494CB947">
            <wp:extent cx="5734050" cy="156210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4B1E8" w14:textId="5E8907DE" w:rsidR="00415588" w:rsidRDefault="003766E7" w:rsidP="00415588">
      <w:r>
        <w:t>Pēc šīs darbības publikācijas statuss tiek mainīts uz “Izsludināts”</w:t>
      </w:r>
      <w:r w:rsidR="00415588">
        <w:t>.</w:t>
      </w:r>
    </w:p>
    <w:p w14:paraId="506741AD" w14:textId="69AA002C" w:rsidR="00444751" w:rsidRDefault="00444751"/>
    <w:p w14:paraId="5893A849" w14:textId="77777777" w:rsidR="003766E7" w:rsidRDefault="003766E7"/>
    <w:p w14:paraId="63F3AB19" w14:textId="6D349E45" w:rsidR="003766E7" w:rsidRDefault="003766E7">
      <w:r>
        <w:rPr>
          <w:noProof/>
        </w:rPr>
        <w:drawing>
          <wp:inline distT="0" distB="0" distL="0" distR="0" wp14:anchorId="00AA52E2" wp14:editId="212395C0">
            <wp:extent cx="5727700" cy="3295650"/>
            <wp:effectExtent l="0" t="0" r="6350" b="0"/>
            <wp:docPr id="204238360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B090" w14:textId="77777777" w:rsidR="003766E7" w:rsidRDefault="003766E7"/>
    <w:p w14:paraId="2E81FC29" w14:textId="71ABE4BB" w:rsidR="003766E7" w:rsidRDefault="003766E7">
      <w:r>
        <w:t xml:space="preserve"> Un </w:t>
      </w:r>
      <w:r w:rsidR="0051218F">
        <w:t>šķirklī “Dokumenti” pievienotiem dokumentiem statuss tiek mainīts uz “Reģistrēts”.</w:t>
      </w:r>
    </w:p>
    <w:p w14:paraId="0233E271" w14:textId="77777777" w:rsidR="0051218F" w:rsidRDefault="0051218F"/>
    <w:p w14:paraId="006505C9" w14:textId="5347DF00" w:rsidR="0051218F" w:rsidRDefault="0051218F">
      <w:r>
        <w:rPr>
          <w:noProof/>
        </w:rPr>
        <w:lastRenderedPageBreak/>
        <w:drawing>
          <wp:inline distT="0" distB="0" distL="0" distR="0" wp14:anchorId="14F339EF" wp14:editId="64E57F0C">
            <wp:extent cx="5731510" cy="1796415"/>
            <wp:effectExtent l="0" t="0" r="2540" b="0"/>
            <wp:docPr id="127149380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85F7B" w14:textId="77777777" w:rsidR="003766E7" w:rsidRDefault="003766E7"/>
    <w:p w14:paraId="244F59A6" w14:textId="75BDAABD" w:rsidR="00883793" w:rsidRPr="00636F35" w:rsidRDefault="00883793" w:rsidP="00883793">
      <w:pPr>
        <w:jc w:val="center"/>
        <w:rPr>
          <w:sz w:val="28"/>
          <w:szCs w:val="28"/>
        </w:rPr>
      </w:pPr>
      <w:r w:rsidRPr="00636F35">
        <w:rPr>
          <w:sz w:val="28"/>
          <w:szCs w:val="28"/>
        </w:rPr>
        <w:t xml:space="preserve">IV. </w:t>
      </w:r>
      <w:r w:rsidR="00E372BB" w:rsidRPr="00636F35">
        <w:rPr>
          <w:sz w:val="28"/>
          <w:szCs w:val="28"/>
        </w:rPr>
        <w:t>Papildus informācija</w:t>
      </w:r>
    </w:p>
    <w:p w14:paraId="0C3754B7" w14:textId="77777777" w:rsidR="00883793" w:rsidRDefault="00883793"/>
    <w:p w14:paraId="49579B5E" w14:textId="274F7971" w:rsidR="00022BE0" w:rsidRDefault="00022BE0" w:rsidP="00022BE0">
      <w:pPr>
        <w:jc w:val="both"/>
      </w:pPr>
      <w:r>
        <w:t xml:space="preserve">Piegādātāju iesniegti komentāri tiks attēloti šķirklī “Dokumenti” izvēršamajā blokā “Pretendentu jautājumi”. </w:t>
      </w:r>
    </w:p>
    <w:p w14:paraId="7C662FEA" w14:textId="08759F5A" w:rsidR="00022BE0" w:rsidRDefault="00022BE0" w:rsidP="00022BE0">
      <w:pPr>
        <w:jc w:val="both"/>
      </w:pPr>
      <w:r>
        <w:t xml:space="preserve">Savukārt </w:t>
      </w:r>
      <w:r w:rsidRPr="00022BE0">
        <w:t xml:space="preserve">apspriedes ziņojumu komisija var publicēt </w:t>
      </w:r>
      <w:r>
        <w:t>šķirklī “Dokumenti” izvēršamajā blokā “Komisijas atbildes un skaidrojumi”, spiežot uz pluszīmes simbolu.</w:t>
      </w:r>
    </w:p>
    <w:p w14:paraId="449D6DF0" w14:textId="77777777" w:rsidR="00022BE0" w:rsidRDefault="00022BE0" w:rsidP="00022BE0">
      <w:pPr>
        <w:jc w:val="both"/>
      </w:pPr>
    </w:p>
    <w:p w14:paraId="24723BB0" w14:textId="61B0DA5E" w:rsidR="00022BE0" w:rsidRDefault="00022BE0">
      <w:r>
        <w:rPr>
          <w:noProof/>
        </w:rPr>
        <w:drawing>
          <wp:inline distT="0" distB="0" distL="0" distR="0" wp14:anchorId="798DB44E" wp14:editId="6813FBD4">
            <wp:extent cx="5727700" cy="2419350"/>
            <wp:effectExtent l="0" t="0" r="6350" b="0"/>
            <wp:docPr id="105938612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BE0" w:rsidSect="006E0F7D">
      <w:footerReference w:type="default" r:id="rId23"/>
      <w:pgSz w:w="11906" w:h="16838"/>
      <w:pgMar w:top="851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D02E" w14:textId="77777777" w:rsidR="00B838E2" w:rsidRDefault="00B838E2" w:rsidP="000A4E78">
      <w:r>
        <w:separator/>
      </w:r>
    </w:p>
  </w:endnote>
  <w:endnote w:type="continuationSeparator" w:id="0">
    <w:p w14:paraId="7B44E220" w14:textId="77777777" w:rsidR="00B838E2" w:rsidRDefault="00B838E2" w:rsidP="000A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0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45656119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2A873EF" w14:textId="77777777" w:rsidR="00DE1575" w:rsidRPr="000A4E78" w:rsidRDefault="00DE1575">
            <w:pPr>
              <w:pStyle w:val="Footer"/>
              <w:jc w:val="right"/>
              <w:rPr>
                <w:sz w:val="20"/>
                <w:szCs w:val="20"/>
              </w:rPr>
            </w:pPr>
            <w:r w:rsidRPr="000A4E78">
              <w:rPr>
                <w:bCs/>
                <w:sz w:val="20"/>
                <w:szCs w:val="20"/>
              </w:rPr>
              <w:fldChar w:fldCharType="begin"/>
            </w:r>
            <w:r w:rsidRPr="000A4E78">
              <w:rPr>
                <w:bCs/>
                <w:sz w:val="20"/>
                <w:szCs w:val="20"/>
              </w:rPr>
              <w:instrText xml:space="preserve"> PAGE </w:instrText>
            </w:r>
            <w:r w:rsidRPr="000A4E78">
              <w:rPr>
                <w:bCs/>
                <w:sz w:val="20"/>
                <w:szCs w:val="20"/>
              </w:rPr>
              <w:fldChar w:fldCharType="separate"/>
            </w:r>
            <w:r w:rsidR="00655699">
              <w:rPr>
                <w:bCs/>
                <w:noProof/>
                <w:sz w:val="20"/>
                <w:szCs w:val="20"/>
              </w:rPr>
              <w:t>2</w:t>
            </w:r>
            <w:r w:rsidRPr="000A4E78">
              <w:rPr>
                <w:bCs/>
                <w:sz w:val="20"/>
                <w:szCs w:val="20"/>
              </w:rPr>
              <w:fldChar w:fldCharType="end"/>
            </w:r>
            <w:r w:rsidRPr="000A4E78">
              <w:rPr>
                <w:sz w:val="20"/>
                <w:szCs w:val="20"/>
              </w:rPr>
              <w:t xml:space="preserve"> - </w:t>
            </w:r>
            <w:r w:rsidRPr="000A4E78">
              <w:rPr>
                <w:bCs/>
                <w:sz w:val="20"/>
                <w:szCs w:val="20"/>
              </w:rPr>
              <w:fldChar w:fldCharType="begin"/>
            </w:r>
            <w:r w:rsidRPr="000A4E78">
              <w:rPr>
                <w:bCs/>
                <w:sz w:val="20"/>
                <w:szCs w:val="20"/>
              </w:rPr>
              <w:instrText xml:space="preserve"> NUMPAGES  </w:instrText>
            </w:r>
            <w:r w:rsidRPr="000A4E78">
              <w:rPr>
                <w:bCs/>
                <w:sz w:val="20"/>
                <w:szCs w:val="20"/>
              </w:rPr>
              <w:fldChar w:fldCharType="separate"/>
            </w:r>
            <w:r w:rsidR="00655699">
              <w:rPr>
                <w:bCs/>
                <w:noProof/>
                <w:sz w:val="20"/>
                <w:szCs w:val="20"/>
              </w:rPr>
              <w:t>47</w:t>
            </w:r>
            <w:r w:rsidRPr="000A4E7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7494A8" w14:textId="77777777" w:rsidR="00DE1575" w:rsidRDefault="00DE1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DBE9" w14:textId="77777777" w:rsidR="00B838E2" w:rsidRDefault="00B838E2" w:rsidP="000A4E78">
      <w:r>
        <w:separator/>
      </w:r>
    </w:p>
  </w:footnote>
  <w:footnote w:type="continuationSeparator" w:id="0">
    <w:p w14:paraId="6D1CA8C9" w14:textId="77777777" w:rsidR="00B838E2" w:rsidRDefault="00B838E2" w:rsidP="000A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46F9F"/>
    <w:multiLevelType w:val="multilevel"/>
    <w:tmpl w:val="5E5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010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E2"/>
    <w:rsid w:val="000044E5"/>
    <w:rsid w:val="00005554"/>
    <w:rsid w:val="00022BE0"/>
    <w:rsid w:val="00025942"/>
    <w:rsid w:val="000505C8"/>
    <w:rsid w:val="00052AC1"/>
    <w:rsid w:val="000531E8"/>
    <w:rsid w:val="00054640"/>
    <w:rsid w:val="00064F75"/>
    <w:rsid w:val="00075029"/>
    <w:rsid w:val="00076C6C"/>
    <w:rsid w:val="00082223"/>
    <w:rsid w:val="000A0B93"/>
    <w:rsid w:val="000A3626"/>
    <w:rsid w:val="000A4E78"/>
    <w:rsid w:val="000C48CC"/>
    <w:rsid w:val="000E3014"/>
    <w:rsid w:val="000E38E6"/>
    <w:rsid w:val="000F08EB"/>
    <w:rsid w:val="000F44DC"/>
    <w:rsid w:val="001349AC"/>
    <w:rsid w:val="00157769"/>
    <w:rsid w:val="00163E02"/>
    <w:rsid w:val="001826A5"/>
    <w:rsid w:val="00182C66"/>
    <w:rsid w:val="001B0431"/>
    <w:rsid w:val="001D0882"/>
    <w:rsid w:val="001E160B"/>
    <w:rsid w:val="002011FB"/>
    <w:rsid w:val="00204538"/>
    <w:rsid w:val="00214E36"/>
    <w:rsid w:val="002308DB"/>
    <w:rsid w:val="00230911"/>
    <w:rsid w:val="0023529F"/>
    <w:rsid w:val="00236107"/>
    <w:rsid w:val="0024258F"/>
    <w:rsid w:val="00242AD4"/>
    <w:rsid w:val="00246DD9"/>
    <w:rsid w:val="00246EA6"/>
    <w:rsid w:val="00260947"/>
    <w:rsid w:val="00267803"/>
    <w:rsid w:val="00295227"/>
    <w:rsid w:val="002B3897"/>
    <w:rsid w:val="002D02A5"/>
    <w:rsid w:val="002D4E18"/>
    <w:rsid w:val="002E34EF"/>
    <w:rsid w:val="002F0DD4"/>
    <w:rsid w:val="00310782"/>
    <w:rsid w:val="00312C1F"/>
    <w:rsid w:val="00320C0C"/>
    <w:rsid w:val="003212A1"/>
    <w:rsid w:val="00326D76"/>
    <w:rsid w:val="00341B63"/>
    <w:rsid w:val="00360BE6"/>
    <w:rsid w:val="003635AF"/>
    <w:rsid w:val="003726D8"/>
    <w:rsid w:val="00372E39"/>
    <w:rsid w:val="0037640F"/>
    <w:rsid w:val="003766E7"/>
    <w:rsid w:val="00382B39"/>
    <w:rsid w:val="003938AA"/>
    <w:rsid w:val="003C42B8"/>
    <w:rsid w:val="003C4BF7"/>
    <w:rsid w:val="003F34F4"/>
    <w:rsid w:val="004147EC"/>
    <w:rsid w:val="00415588"/>
    <w:rsid w:val="00444751"/>
    <w:rsid w:val="00452A0D"/>
    <w:rsid w:val="00453D7F"/>
    <w:rsid w:val="004553EA"/>
    <w:rsid w:val="00496BDE"/>
    <w:rsid w:val="004A5F03"/>
    <w:rsid w:val="004A740E"/>
    <w:rsid w:val="004B1B0C"/>
    <w:rsid w:val="004C324C"/>
    <w:rsid w:val="004C48F7"/>
    <w:rsid w:val="004D0FAC"/>
    <w:rsid w:val="004F3F96"/>
    <w:rsid w:val="0050079E"/>
    <w:rsid w:val="00504313"/>
    <w:rsid w:val="0051218F"/>
    <w:rsid w:val="00513712"/>
    <w:rsid w:val="00513A06"/>
    <w:rsid w:val="00522869"/>
    <w:rsid w:val="00541BAB"/>
    <w:rsid w:val="005425BE"/>
    <w:rsid w:val="00557D49"/>
    <w:rsid w:val="005631E7"/>
    <w:rsid w:val="00563FCA"/>
    <w:rsid w:val="00570813"/>
    <w:rsid w:val="00571D16"/>
    <w:rsid w:val="005B22D2"/>
    <w:rsid w:val="005B25A1"/>
    <w:rsid w:val="005B639F"/>
    <w:rsid w:val="005C518E"/>
    <w:rsid w:val="005F53F9"/>
    <w:rsid w:val="005F6028"/>
    <w:rsid w:val="0062702B"/>
    <w:rsid w:val="00636F35"/>
    <w:rsid w:val="00636FA0"/>
    <w:rsid w:val="006374B1"/>
    <w:rsid w:val="00655699"/>
    <w:rsid w:val="006561FF"/>
    <w:rsid w:val="00675614"/>
    <w:rsid w:val="00675BFC"/>
    <w:rsid w:val="00676453"/>
    <w:rsid w:val="006965DB"/>
    <w:rsid w:val="00696EE2"/>
    <w:rsid w:val="006A63FB"/>
    <w:rsid w:val="006B13B2"/>
    <w:rsid w:val="006D48DD"/>
    <w:rsid w:val="006E0F7D"/>
    <w:rsid w:val="006F1D8A"/>
    <w:rsid w:val="00720184"/>
    <w:rsid w:val="00743A26"/>
    <w:rsid w:val="00763AB4"/>
    <w:rsid w:val="00777077"/>
    <w:rsid w:val="007849C7"/>
    <w:rsid w:val="0079208F"/>
    <w:rsid w:val="00795C76"/>
    <w:rsid w:val="007A7A11"/>
    <w:rsid w:val="007B0B9C"/>
    <w:rsid w:val="007B7DE4"/>
    <w:rsid w:val="007D2D46"/>
    <w:rsid w:val="007E0EB5"/>
    <w:rsid w:val="007F0A0D"/>
    <w:rsid w:val="007F13FF"/>
    <w:rsid w:val="008013AA"/>
    <w:rsid w:val="0081377C"/>
    <w:rsid w:val="0083477D"/>
    <w:rsid w:val="008406D8"/>
    <w:rsid w:val="008463B8"/>
    <w:rsid w:val="00854638"/>
    <w:rsid w:val="0086610E"/>
    <w:rsid w:val="008715AE"/>
    <w:rsid w:val="00872A30"/>
    <w:rsid w:val="008779CC"/>
    <w:rsid w:val="00883793"/>
    <w:rsid w:val="008932E4"/>
    <w:rsid w:val="008D5234"/>
    <w:rsid w:val="008E04D7"/>
    <w:rsid w:val="00911CDD"/>
    <w:rsid w:val="009129AF"/>
    <w:rsid w:val="009358BD"/>
    <w:rsid w:val="009629C7"/>
    <w:rsid w:val="0096543A"/>
    <w:rsid w:val="0099255A"/>
    <w:rsid w:val="009A06DA"/>
    <w:rsid w:val="009C3246"/>
    <w:rsid w:val="009C7E60"/>
    <w:rsid w:val="009D4C6E"/>
    <w:rsid w:val="009D7681"/>
    <w:rsid w:val="009F7D1F"/>
    <w:rsid w:val="00A31587"/>
    <w:rsid w:val="00A400FF"/>
    <w:rsid w:val="00A45D40"/>
    <w:rsid w:val="00A54E4F"/>
    <w:rsid w:val="00A83BF1"/>
    <w:rsid w:val="00A8636B"/>
    <w:rsid w:val="00A86434"/>
    <w:rsid w:val="00A86CE2"/>
    <w:rsid w:val="00A95061"/>
    <w:rsid w:val="00A953EB"/>
    <w:rsid w:val="00A97301"/>
    <w:rsid w:val="00A97755"/>
    <w:rsid w:val="00A97854"/>
    <w:rsid w:val="00AA1D2A"/>
    <w:rsid w:val="00AB043E"/>
    <w:rsid w:val="00AD7D0D"/>
    <w:rsid w:val="00AE3591"/>
    <w:rsid w:val="00B118B3"/>
    <w:rsid w:val="00B120AA"/>
    <w:rsid w:val="00B354B3"/>
    <w:rsid w:val="00B519F5"/>
    <w:rsid w:val="00B55FEB"/>
    <w:rsid w:val="00B838E2"/>
    <w:rsid w:val="00B846D1"/>
    <w:rsid w:val="00B87E55"/>
    <w:rsid w:val="00B9776C"/>
    <w:rsid w:val="00BB11CE"/>
    <w:rsid w:val="00BC7979"/>
    <w:rsid w:val="00BE6861"/>
    <w:rsid w:val="00C17418"/>
    <w:rsid w:val="00C23F68"/>
    <w:rsid w:val="00C3797F"/>
    <w:rsid w:val="00C57F5B"/>
    <w:rsid w:val="00C626F1"/>
    <w:rsid w:val="00C70A3D"/>
    <w:rsid w:val="00C76375"/>
    <w:rsid w:val="00C956E3"/>
    <w:rsid w:val="00CC0FF9"/>
    <w:rsid w:val="00CC4691"/>
    <w:rsid w:val="00CE4288"/>
    <w:rsid w:val="00CF1556"/>
    <w:rsid w:val="00CF759E"/>
    <w:rsid w:val="00D0402B"/>
    <w:rsid w:val="00D04A8F"/>
    <w:rsid w:val="00D12878"/>
    <w:rsid w:val="00D20075"/>
    <w:rsid w:val="00D34027"/>
    <w:rsid w:val="00D41730"/>
    <w:rsid w:val="00D4314B"/>
    <w:rsid w:val="00D5349E"/>
    <w:rsid w:val="00D54E67"/>
    <w:rsid w:val="00D65454"/>
    <w:rsid w:val="00D66A49"/>
    <w:rsid w:val="00D926E6"/>
    <w:rsid w:val="00DA5928"/>
    <w:rsid w:val="00DB1646"/>
    <w:rsid w:val="00DB1F73"/>
    <w:rsid w:val="00DB573D"/>
    <w:rsid w:val="00DC2746"/>
    <w:rsid w:val="00DE1575"/>
    <w:rsid w:val="00DE59E6"/>
    <w:rsid w:val="00DE666D"/>
    <w:rsid w:val="00DF496A"/>
    <w:rsid w:val="00E03609"/>
    <w:rsid w:val="00E0601C"/>
    <w:rsid w:val="00E128E7"/>
    <w:rsid w:val="00E372BB"/>
    <w:rsid w:val="00E5669F"/>
    <w:rsid w:val="00E64D1A"/>
    <w:rsid w:val="00E7471A"/>
    <w:rsid w:val="00E90676"/>
    <w:rsid w:val="00E95C32"/>
    <w:rsid w:val="00EB78D9"/>
    <w:rsid w:val="00EE03DB"/>
    <w:rsid w:val="00EE149A"/>
    <w:rsid w:val="00F0542D"/>
    <w:rsid w:val="00F133FF"/>
    <w:rsid w:val="00F236A1"/>
    <w:rsid w:val="00F44C99"/>
    <w:rsid w:val="00F81121"/>
    <w:rsid w:val="00F83F1A"/>
    <w:rsid w:val="00FA2680"/>
    <w:rsid w:val="00FC33F5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A109"/>
  <w15:docId w15:val="{FC7F0B6E-7A38-460A-BB58-118EB05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D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C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E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E7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A4E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78"/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13F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3FF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1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Nadežda Pūtele</cp:lastModifiedBy>
  <cp:revision>10</cp:revision>
  <dcterms:created xsi:type="dcterms:W3CDTF">2023-11-23T06:21:00Z</dcterms:created>
  <dcterms:modified xsi:type="dcterms:W3CDTF">2023-11-23T13:56:00Z</dcterms:modified>
</cp:coreProperties>
</file>