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20" w:rsidRDefault="001305F6" w:rsidP="001305F6">
      <w:pPr>
        <w:jc w:val="right"/>
        <w:rPr>
          <w:b/>
          <w:szCs w:val="28"/>
        </w:rPr>
      </w:pPr>
      <w:bookmarkStart w:id="0" w:name="_Hlk505253672"/>
      <w:bookmarkEnd w:id="0"/>
      <w:r>
        <w:rPr>
          <w:b/>
          <w:szCs w:val="28"/>
        </w:rPr>
        <w:t>Aktuāls no 11.10.2018.</w:t>
      </w:r>
    </w:p>
    <w:p w:rsidR="001305F6" w:rsidRPr="00DF2717" w:rsidRDefault="001305F6" w:rsidP="001305F6">
      <w:pPr>
        <w:jc w:val="right"/>
        <w:rPr>
          <w:rFonts w:cs="Times New Roman"/>
          <w:b/>
          <w:color w:val="FF0000"/>
          <w:sz w:val="32"/>
          <w:szCs w:val="32"/>
        </w:rPr>
      </w:pPr>
    </w:p>
    <w:p w:rsidR="00EF3A20" w:rsidRPr="008B3198" w:rsidRDefault="000B1FE5" w:rsidP="00EF3A20">
      <w:pPr>
        <w:jc w:val="center"/>
        <w:rPr>
          <w:b/>
          <w:szCs w:val="28"/>
        </w:rPr>
      </w:pPr>
      <w:r w:rsidRPr="000B1FE5">
        <w:rPr>
          <w:b/>
          <w:szCs w:val="28"/>
        </w:rPr>
        <w:t>Informācijas nodošana trešajām personām</w:t>
      </w:r>
      <w:r w:rsidR="00EF3A20" w:rsidRPr="008B3198">
        <w:rPr>
          <w:b/>
          <w:szCs w:val="28"/>
        </w:rPr>
        <w:t>.</w:t>
      </w:r>
    </w:p>
    <w:p w:rsidR="008B3198" w:rsidRPr="008B3198" w:rsidRDefault="008B3198" w:rsidP="008B3198">
      <w:pPr>
        <w:jc w:val="center"/>
        <w:rPr>
          <w:rFonts w:cs="Times New Roman"/>
          <w:b/>
          <w:i/>
          <w:color w:val="FF0000"/>
          <w:sz w:val="32"/>
          <w:szCs w:val="32"/>
        </w:rPr>
      </w:pPr>
      <w:r w:rsidRPr="008B3198">
        <w:rPr>
          <w:i/>
          <w:szCs w:val="28"/>
        </w:rPr>
        <w:t>(</w:t>
      </w:r>
      <w:r w:rsidR="001E4DAD" w:rsidRPr="001E4DAD">
        <w:rPr>
          <w:i/>
          <w:szCs w:val="28"/>
        </w:rPr>
        <w:t xml:space="preserve">nepieciešamās darbības pasūtītājiem, lai </w:t>
      </w:r>
      <w:r w:rsidR="001E4DAD">
        <w:rPr>
          <w:i/>
          <w:szCs w:val="28"/>
        </w:rPr>
        <w:t>izveidotu iepirkuma do</w:t>
      </w:r>
      <w:r w:rsidR="001E4DAD" w:rsidRPr="001E4DAD">
        <w:rPr>
          <w:bCs/>
          <w:i/>
          <w:szCs w:val="28"/>
        </w:rPr>
        <w:t>kumentācij</w:t>
      </w:r>
      <w:r w:rsidR="001E4DAD">
        <w:rPr>
          <w:bCs/>
          <w:i/>
          <w:szCs w:val="28"/>
        </w:rPr>
        <w:t xml:space="preserve">as apkopojumu </w:t>
      </w:r>
      <w:r w:rsidR="001E4DAD" w:rsidRPr="001E4DAD">
        <w:rPr>
          <w:i/>
          <w:szCs w:val="28"/>
        </w:rPr>
        <w:t>sistēmā</w:t>
      </w:r>
      <w:r w:rsidRPr="008B3198">
        <w:rPr>
          <w:i/>
          <w:szCs w:val="28"/>
        </w:rPr>
        <w:t>)</w:t>
      </w:r>
    </w:p>
    <w:p w:rsidR="008B3198" w:rsidRDefault="008B3198" w:rsidP="008B3198">
      <w:pPr>
        <w:spacing w:before="120"/>
        <w:ind w:left="284" w:hanging="284"/>
        <w:rPr>
          <w:color w:val="2E74B5" w:themeColor="accent1" w:themeShade="BF"/>
          <w:sz w:val="20"/>
          <w:szCs w:val="20"/>
        </w:rPr>
      </w:pPr>
      <w:r w:rsidRPr="008938CC">
        <w:rPr>
          <w:color w:val="2E74B5" w:themeColor="accent1" w:themeShade="BF"/>
          <w:sz w:val="20"/>
          <w:szCs w:val="20"/>
        </w:rPr>
        <w:sym w:font="Webdings" w:char="F069"/>
      </w:r>
      <w:r w:rsidRPr="008938CC">
        <w:rPr>
          <w:color w:val="2E74B5" w:themeColor="accent1" w:themeShade="BF"/>
          <w:sz w:val="20"/>
          <w:szCs w:val="20"/>
        </w:rPr>
        <w:t xml:space="preserve"> </w:t>
      </w:r>
      <w:r>
        <w:rPr>
          <w:color w:val="2E74B5" w:themeColor="accent1" w:themeShade="BF"/>
          <w:sz w:val="20"/>
          <w:szCs w:val="20"/>
        </w:rPr>
        <w:tab/>
        <w:t xml:space="preserve">Dokuments sagatavots ar izvēršamiem blokiem (bloki izvēršami vai savēršami spiežot uz </w:t>
      </w:r>
      <w:r w:rsidRPr="008A41AC">
        <w:rPr>
          <w:color w:val="2E74B5" w:themeColor="accent1" w:themeShade="BF"/>
          <w:sz w:val="20"/>
          <w:szCs w:val="20"/>
        </w:rPr>
        <w:sym w:font="Wingdings 3" w:char="F07D"/>
      </w:r>
      <w:r w:rsidRPr="008A41AC">
        <w:rPr>
          <w:color w:val="2E74B5" w:themeColor="accent1" w:themeShade="BF"/>
          <w:sz w:val="20"/>
          <w:szCs w:val="20"/>
        </w:rPr>
        <w:t xml:space="preserve"> </w:t>
      </w:r>
      <w:r>
        <w:rPr>
          <w:color w:val="2E74B5" w:themeColor="accent1" w:themeShade="BF"/>
          <w:sz w:val="20"/>
          <w:szCs w:val="20"/>
        </w:rPr>
        <w:t>simbola</w:t>
      </w:r>
      <w:r w:rsidRPr="00F436C2">
        <w:rPr>
          <w:color w:val="2E74B5" w:themeColor="accent1" w:themeShade="BF"/>
          <w:sz w:val="20"/>
          <w:szCs w:val="20"/>
        </w:rPr>
        <w:t>)</w:t>
      </w:r>
      <w:r>
        <w:rPr>
          <w:color w:val="2E74B5" w:themeColor="accent1" w:themeShade="BF"/>
          <w:sz w:val="20"/>
          <w:szCs w:val="20"/>
        </w:rPr>
        <w:t xml:space="preserve">, funkcionalitāte pieejama </w:t>
      </w:r>
      <w:r w:rsidRPr="008A41AC">
        <w:rPr>
          <w:color w:val="2E74B5" w:themeColor="accent1" w:themeShade="BF"/>
          <w:sz w:val="20"/>
          <w:szCs w:val="20"/>
        </w:rPr>
        <w:t>MS Word 2013</w:t>
      </w:r>
      <w:r>
        <w:rPr>
          <w:color w:val="2E74B5" w:themeColor="accent1" w:themeShade="BF"/>
          <w:sz w:val="20"/>
          <w:szCs w:val="20"/>
        </w:rPr>
        <w:t xml:space="preserve"> vai vēlākam versijām (agrākām </w:t>
      </w:r>
      <w:r w:rsidRPr="008A41AC">
        <w:rPr>
          <w:color w:val="2E74B5" w:themeColor="accent1" w:themeShade="BF"/>
          <w:sz w:val="20"/>
          <w:szCs w:val="20"/>
        </w:rPr>
        <w:t xml:space="preserve">MS Word </w:t>
      </w:r>
      <w:r>
        <w:rPr>
          <w:color w:val="2E74B5" w:themeColor="accent1" w:themeShade="BF"/>
          <w:sz w:val="20"/>
          <w:szCs w:val="20"/>
        </w:rPr>
        <w:t>versijām bloki vienmēr ir izvērsti un nav savēršami).</w:t>
      </w:r>
    </w:p>
    <w:p w:rsidR="005C3F7B" w:rsidRPr="00B37022" w:rsidRDefault="005C3F7B" w:rsidP="00B37022">
      <w:pPr>
        <w:pStyle w:val="Heading1"/>
        <w:numPr>
          <w:ilvl w:val="0"/>
          <w:numId w:val="3"/>
        </w:numPr>
        <w:ind w:left="426" w:hanging="426"/>
        <w:rPr>
          <w:rFonts w:ascii="Times New Roman" w:hAnsi="Times New Roman" w:cs="Times New Roman"/>
          <w:b/>
          <w:sz w:val="24"/>
          <w:szCs w:val="24"/>
        </w:rPr>
      </w:pPr>
      <w:r w:rsidRPr="00B37022">
        <w:rPr>
          <w:rFonts w:ascii="Times New Roman" w:hAnsi="Times New Roman" w:cs="Times New Roman"/>
          <w:b/>
          <w:sz w:val="24"/>
          <w:szCs w:val="24"/>
        </w:rPr>
        <w:t>Priekšnosacījumi informācijas nodošanai trešajām personām</w:t>
      </w:r>
    </w:p>
    <w:p w:rsidR="001E5175" w:rsidRPr="005C3F7B" w:rsidRDefault="00B235D5" w:rsidP="00B37022">
      <w:pPr>
        <w:ind w:left="426"/>
        <w:rPr>
          <w:sz w:val="24"/>
        </w:rPr>
      </w:pPr>
      <w:r w:rsidRPr="005C3F7B">
        <w:rPr>
          <w:sz w:val="24"/>
        </w:rPr>
        <w:t>E-konkursu apakšsistēmā iepirkuma komisijas loceklis var izveidot iepirkuma dokumentācijas apkopojumu, iekļaujot konkrēta iepirkuma ietvaros izvēlētus dokumentus, un nosūtīt to jebkuram adresātam. Veidojot dokumentācijas apkopojumu ir nepieciešams izvēlēties konkrētus e-konkursu apakšsistēmā esošus dokumentus, kurus plānots iekļaut šajā apkopojumā. Pēc dokumentācijas apkopojuma ģenerēšanas tiek izveidots apkopojums uz FTP servera. Savukārt adresātam tiek nosūtīta piekļuves informācija dokumentācijas apkopojumam, t.i. lietotājvārds un parole. Lai piekļūtu apkopojumam, datu saņēmējam ir jānodrošina piekļuve FTP serverim. Servera konfigurācijas parametri ir pieejami e-konkursu apakšsistēmas izvēlnes “</w:t>
      </w:r>
      <w:r w:rsidR="00816AC7">
        <w:rPr>
          <w:sz w:val="24"/>
        </w:rPr>
        <w:t>Skaidrojumi un instrukcijas</w:t>
      </w:r>
      <w:r w:rsidRPr="005C3F7B">
        <w:rPr>
          <w:sz w:val="24"/>
        </w:rPr>
        <w:t xml:space="preserve">” </w:t>
      </w:r>
      <w:r w:rsidR="00AA176A">
        <w:rPr>
          <w:sz w:val="24"/>
        </w:rPr>
        <w:t xml:space="preserve">dokumentā </w:t>
      </w:r>
      <w:r w:rsidRPr="001E5175">
        <w:rPr>
          <w:sz w:val="24"/>
          <w:u w:val="single"/>
        </w:rPr>
        <w:t>“</w:t>
      </w:r>
      <w:proofErr w:type="spellStart"/>
      <w:r w:rsidR="00AA176A">
        <w:rPr>
          <w:sz w:val="24"/>
          <w:u w:val="single"/>
        </w:rPr>
        <w:t>Lielapjoma</w:t>
      </w:r>
      <w:proofErr w:type="spellEnd"/>
      <w:r w:rsidR="00AA176A">
        <w:rPr>
          <w:sz w:val="24"/>
          <w:u w:val="single"/>
        </w:rPr>
        <w:t xml:space="preserve"> datņu, kas pārsniedz 8 </w:t>
      </w:r>
      <w:proofErr w:type="spellStart"/>
      <w:r w:rsidR="00AA176A">
        <w:rPr>
          <w:sz w:val="24"/>
          <w:u w:val="single"/>
        </w:rPr>
        <w:t>Mb</w:t>
      </w:r>
      <w:proofErr w:type="spellEnd"/>
      <w:r w:rsidR="00AA176A">
        <w:rPr>
          <w:sz w:val="24"/>
          <w:u w:val="single"/>
        </w:rPr>
        <w:t>, ievietošanu iepirkuma procedūras vidē FTP serverī”</w:t>
      </w:r>
      <w:bookmarkStart w:id="1" w:name="_GoBack"/>
      <w:bookmarkEnd w:id="1"/>
      <w:r w:rsidRPr="005C3F7B">
        <w:rPr>
          <w:sz w:val="24"/>
        </w:rPr>
        <w:t xml:space="preserve">. Atbilstoši aprakstā norādītajai informācijai ir nepieciešams nokonfigurēt Jūsu FTP serveri. Datora programmas, lai izmantotu FTP servera un šifrēšanas iespējas, ir iespējams </w:t>
      </w:r>
      <w:proofErr w:type="spellStart"/>
      <w:r w:rsidRPr="005C3F7B">
        <w:rPr>
          <w:sz w:val="24"/>
        </w:rPr>
        <w:t>lejuplādēt</w:t>
      </w:r>
      <w:proofErr w:type="spellEnd"/>
      <w:r w:rsidRPr="005C3F7B">
        <w:rPr>
          <w:sz w:val="24"/>
        </w:rPr>
        <w:t xml:space="preserve"> un uzstādīt bez maksas (sīkāka informācija par konkrētās datorprogrammas lietošanas nosacījumiem ir pieejama attiecīgās programmas aprakstā).</w:t>
      </w:r>
    </w:p>
    <w:p w:rsidR="00B235D5" w:rsidRPr="00B37022" w:rsidRDefault="00B235D5" w:rsidP="00B37022">
      <w:pPr>
        <w:pStyle w:val="Heading1"/>
        <w:numPr>
          <w:ilvl w:val="0"/>
          <w:numId w:val="3"/>
        </w:numPr>
        <w:ind w:left="426" w:hanging="426"/>
        <w:rPr>
          <w:rFonts w:ascii="Times New Roman" w:hAnsi="Times New Roman" w:cs="Times New Roman"/>
          <w:b/>
          <w:sz w:val="24"/>
          <w:szCs w:val="24"/>
        </w:rPr>
      </w:pPr>
      <w:r w:rsidRPr="00B37022">
        <w:rPr>
          <w:rFonts w:ascii="Times New Roman" w:hAnsi="Times New Roman" w:cs="Times New Roman"/>
          <w:b/>
          <w:sz w:val="24"/>
          <w:szCs w:val="24"/>
        </w:rPr>
        <w:t>Dokumentācij</w:t>
      </w:r>
      <w:r w:rsidR="001E5175" w:rsidRPr="00B37022">
        <w:rPr>
          <w:rFonts w:ascii="Times New Roman" w:hAnsi="Times New Roman" w:cs="Times New Roman"/>
          <w:b/>
          <w:sz w:val="24"/>
          <w:szCs w:val="24"/>
        </w:rPr>
        <w:t>as apkopojuma izveide</w:t>
      </w:r>
    </w:p>
    <w:p w:rsidR="009318BD" w:rsidRPr="009318BD" w:rsidRDefault="009318BD" w:rsidP="009318BD">
      <w:pPr>
        <w:pStyle w:val="ListParagraph"/>
        <w:keepNext/>
        <w:keepLines/>
        <w:numPr>
          <w:ilvl w:val="0"/>
          <w:numId w:val="2"/>
        </w:numPr>
        <w:spacing w:after="60"/>
        <w:contextualSpacing w:val="0"/>
        <w:outlineLvl w:val="1"/>
        <w:rPr>
          <w:rFonts w:eastAsiaTheme="majorEastAsia" w:cs="Times New Roman"/>
          <w:vanish/>
          <w:sz w:val="24"/>
          <w:szCs w:val="24"/>
        </w:rPr>
      </w:pPr>
    </w:p>
    <w:p w:rsidR="009318BD" w:rsidRPr="009318BD" w:rsidRDefault="009318BD" w:rsidP="009318BD">
      <w:pPr>
        <w:pStyle w:val="ListParagraph"/>
        <w:keepNext/>
        <w:keepLines/>
        <w:numPr>
          <w:ilvl w:val="0"/>
          <w:numId w:val="2"/>
        </w:numPr>
        <w:spacing w:after="60"/>
        <w:contextualSpacing w:val="0"/>
        <w:outlineLvl w:val="1"/>
        <w:rPr>
          <w:rFonts w:eastAsiaTheme="majorEastAsia" w:cs="Times New Roman"/>
          <w:vanish/>
          <w:sz w:val="24"/>
          <w:szCs w:val="24"/>
        </w:rPr>
      </w:pPr>
    </w:p>
    <w:p w:rsidR="009318BD" w:rsidRDefault="009318BD" w:rsidP="00B37022">
      <w:pPr>
        <w:pStyle w:val="Heading2"/>
        <w:numPr>
          <w:ilvl w:val="1"/>
          <w:numId w:val="2"/>
        </w:numPr>
        <w:spacing w:before="60"/>
        <w:ind w:left="992" w:hanging="567"/>
        <w:rPr>
          <w:rFonts w:ascii="Times New Roman" w:hAnsi="Times New Roman" w:cs="Times New Roman"/>
          <w:color w:val="auto"/>
          <w:sz w:val="24"/>
          <w:szCs w:val="24"/>
        </w:rPr>
      </w:pPr>
      <w:r w:rsidRPr="009318BD">
        <w:rPr>
          <w:rFonts w:ascii="Times New Roman" w:hAnsi="Times New Roman" w:cs="Times New Roman"/>
          <w:color w:val="auto"/>
          <w:sz w:val="24"/>
          <w:szCs w:val="24"/>
        </w:rPr>
        <w:t xml:space="preserve">Dokumentācijas apkopojumi atrodas šķirkļa “Dokumenti” izvēršamajā </w:t>
      </w:r>
      <w:r w:rsidR="000763AC">
        <w:rPr>
          <w:rFonts w:ascii="Times New Roman" w:hAnsi="Times New Roman" w:cs="Times New Roman"/>
          <w:color w:val="auto"/>
          <w:sz w:val="24"/>
          <w:szCs w:val="24"/>
        </w:rPr>
        <w:t>blokā</w:t>
      </w:r>
      <w:r w:rsidRPr="009318BD">
        <w:rPr>
          <w:rFonts w:ascii="Times New Roman" w:hAnsi="Times New Roman" w:cs="Times New Roman"/>
          <w:color w:val="auto"/>
          <w:sz w:val="24"/>
          <w:szCs w:val="24"/>
        </w:rPr>
        <w:t xml:space="preserve"> “Iepirkuma dokumentācijas apkopojumi”.</w:t>
      </w:r>
    </w:p>
    <w:p w:rsidR="000032EB" w:rsidRDefault="000032EB" w:rsidP="003F34D0">
      <w:pPr>
        <w:ind w:left="993"/>
      </w:pPr>
      <w:r>
        <w:rPr>
          <w:noProof/>
          <w:lang w:eastAsia="lv-LV"/>
        </w:rPr>
        <w:drawing>
          <wp:inline distT="0" distB="0" distL="0" distR="0" wp14:anchorId="27190B9F" wp14:editId="06DFA530">
            <wp:extent cx="5954400" cy="1119816"/>
            <wp:effectExtent l="19050" t="19050" r="8255"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4400" cy="1119816"/>
                    </a:xfrm>
                    <a:prstGeom prst="rect">
                      <a:avLst/>
                    </a:prstGeom>
                    <a:noFill/>
                    <a:ln>
                      <a:solidFill>
                        <a:schemeClr val="accent1"/>
                      </a:solidFill>
                    </a:ln>
                  </pic:spPr>
                </pic:pic>
              </a:graphicData>
            </a:graphic>
          </wp:inline>
        </w:drawing>
      </w:r>
    </w:p>
    <w:p w:rsidR="000032EB" w:rsidRPr="009318BD" w:rsidRDefault="000032EB" w:rsidP="00B37022">
      <w:pPr>
        <w:pStyle w:val="Heading2"/>
        <w:numPr>
          <w:ilvl w:val="1"/>
          <w:numId w:val="2"/>
        </w:numPr>
        <w:spacing w:before="60"/>
        <w:ind w:left="992" w:hanging="567"/>
        <w:rPr>
          <w:rFonts w:ascii="Times New Roman" w:hAnsi="Times New Roman" w:cs="Times New Roman"/>
          <w:color w:val="auto"/>
          <w:sz w:val="24"/>
          <w:szCs w:val="24"/>
        </w:rPr>
      </w:pPr>
      <w:r w:rsidRPr="009318BD">
        <w:rPr>
          <w:rFonts w:ascii="Times New Roman" w:hAnsi="Times New Roman" w:cs="Times New Roman"/>
          <w:color w:val="auto"/>
          <w:sz w:val="24"/>
          <w:szCs w:val="24"/>
        </w:rPr>
        <w:t>Lai izveidotu jaunu iepirkuma dokumentācijas apkopojumu, ievadlaukā “Apkopojuma datnes (.</w:t>
      </w:r>
      <w:proofErr w:type="spellStart"/>
      <w:r w:rsidRPr="009318BD">
        <w:rPr>
          <w:rFonts w:ascii="Times New Roman" w:hAnsi="Times New Roman" w:cs="Times New Roman"/>
          <w:color w:val="auto"/>
          <w:sz w:val="24"/>
          <w:szCs w:val="24"/>
        </w:rPr>
        <w:t>zip</w:t>
      </w:r>
      <w:proofErr w:type="spellEnd"/>
      <w:r w:rsidRPr="009318BD">
        <w:rPr>
          <w:rFonts w:ascii="Times New Roman" w:hAnsi="Times New Roman" w:cs="Times New Roman"/>
          <w:color w:val="auto"/>
          <w:sz w:val="24"/>
          <w:szCs w:val="24"/>
        </w:rPr>
        <w:t xml:space="preserve">) nosaukums” ieraksta apkopojuma datnes nosaukumu. </w:t>
      </w:r>
    </w:p>
    <w:p w:rsidR="001E5175" w:rsidRPr="009318BD" w:rsidRDefault="000032EB" w:rsidP="003F34D0">
      <w:pPr>
        <w:ind w:left="993"/>
      </w:pPr>
      <w:r>
        <w:rPr>
          <w:noProof/>
          <w:lang w:eastAsia="lv-LV"/>
        </w:rPr>
        <w:drawing>
          <wp:inline distT="0" distB="0" distL="0" distR="0" wp14:anchorId="4CD0CE6C" wp14:editId="018BD09E">
            <wp:extent cx="5954400" cy="1313630"/>
            <wp:effectExtent l="19050" t="19050" r="8255" b="203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400" cy="1313630"/>
                    </a:xfrm>
                    <a:prstGeom prst="rect">
                      <a:avLst/>
                    </a:prstGeom>
                    <a:noFill/>
                    <a:ln>
                      <a:solidFill>
                        <a:schemeClr val="accent1"/>
                      </a:solidFill>
                    </a:ln>
                  </pic:spPr>
                </pic:pic>
              </a:graphicData>
            </a:graphic>
          </wp:inline>
        </w:drawing>
      </w:r>
    </w:p>
    <w:p w:rsidR="00292AE1" w:rsidRDefault="00292AE1" w:rsidP="00B37022">
      <w:pPr>
        <w:pStyle w:val="Heading2"/>
        <w:numPr>
          <w:ilvl w:val="1"/>
          <w:numId w:val="2"/>
        </w:numPr>
        <w:spacing w:before="60"/>
        <w:ind w:left="992" w:hanging="567"/>
        <w:rPr>
          <w:rFonts w:ascii="Times New Roman" w:hAnsi="Times New Roman" w:cs="Times New Roman"/>
          <w:color w:val="auto"/>
          <w:sz w:val="24"/>
          <w:szCs w:val="24"/>
        </w:rPr>
      </w:pPr>
      <w:r w:rsidRPr="009318BD">
        <w:rPr>
          <w:rFonts w:ascii="Times New Roman" w:hAnsi="Times New Roman" w:cs="Times New Roman"/>
          <w:color w:val="auto"/>
          <w:sz w:val="24"/>
          <w:szCs w:val="24"/>
        </w:rPr>
        <w:lastRenderedPageBreak/>
        <w:t xml:space="preserve">Izvēršamajos </w:t>
      </w:r>
      <w:r w:rsidR="000763AC">
        <w:rPr>
          <w:rFonts w:ascii="Times New Roman" w:hAnsi="Times New Roman" w:cs="Times New Roman"/>
          <w:color w:val="auto"/>
          <w:sz w:val="24"/>
          <w:szCs w:val="24"/>
        </w:rPr>
        <w:t>blokos</w:t>
      </w:r>
      <w:r w:rsidRPr="009318BD">
        <w:rPr>
          <w:rFonts w:ascii="Times New Roman" w:hAnsi="Times New Roman" w:cs="Times New Roman"/>
          <w:color w:val="auto"/>
          <w:sz w:val="24"/>
          <w:szCs w:val="24"/>
        </w:rPr>
        <w:t xml:space="preserve"> “Iepirkuma dokumenti” un “Piedāvājumu saraksts” </w:t>
      </w:r>
      <w:r w:rsidR="00C83903" w:rsidRPr="009318BD">
        <w:rPr>
          <w:rFonts w:ascii="Times New Roman" w:hAnsi="Times New Roman" w:cs="Times New Roman"/>
          <w:color w:val="auto"/>
          <w:sz w:val="24"/>
          <w:szCs w:val="24"/>
        </w:rPr>
        <w:t xml:space="preserve">atzīmē </w:t>
      </w:r>
      <w:r w:rsidRPr="009318BD">
        <w:rPr>
          <w:rFonts w:ascii="Times New Roman" w:hAnsi="Times New Roman" w:cs="Times New Roman"/>
          <w:color w:val="auto"/>
          <w:sz w:val="24"/>
          <w:szCs w:val="24"/>
        </w:rPr>
        <w:t>dokument</w:t>
      </w:r>
      <w:r w:rsidR="00C83903" w:rsidRPr="009318BD">
        <w:rPr>
          <w:rFonts w:ascii="Times New Roman" w:hAnsi="Times New Roman" w:cs="Times New Roman"/>
          <w:color w:val="auto"/>
          <w:sz w:val="24"/>
          <w:szCs w:val="24"/>
        </w:rPr>
        <w:t>us, kuri</w:t>
      </w:r>
      <w:r w:rsidRPr="009318BD">
        <w:rPr>
          <w:rFonts w:ascii="Times New Roman" w:hAnsi="Times New Roman" w:cs="Times New Roman"/>
          <w:color w:val="auto"/>
          <w:sz w:val="24"/>
          <w:szCs w:val="24"/>
        </w:rPr>
        <w:t xml:space="preserve"> tiks iekļauti apkopojumā. </w:t>
      </w:r>
    </w:p>
    <w:p w:rsidR="00292AE1" w:rsidRDefault="00B557A5" w:rsidP="003F34D0">
      <w:pPr>
        <w:ind w:left="993"/>
      </w:pPr>
      <w:r>
        <w:rPr>
          <w:noProof/>
          <w:lang w:eastAsia="lv-LV"/>
        </w:rPr>
        <w:drawing>
          <wp:inline distT="0" distB="0" distL="0" distR="0">
            <wp:extent cx="5874142" cy="4079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3184" cy="4078354"/>
                    </a:xfrm>
                    <a:prstGeom prst="rect">
                      <a:avLst/>
                    </a:prstGeom>
                    <a:noFill/>
                    <a:ln>
                      <a:noFill/>
                    </a:ln>
                  </pic:spPr>
                </pic:pic>
              </a:graphicData>
            </a:graphic>
          </wp:inline>
        </w:drawing>
      </w:r>
    </w:p>
    <w:p w:rsidR="004C4EA5" w:rsidRPr="009318BD" w:rsidRDefault="00C83903" w:rsidP="00B37022">
      <w:pPr>
        <w:pStyle w:val="Heading2"/>
        <w:numPr>
          <w:ilvl w:val="1"/>
          <w:numId w:val="2"/>
        </w:numPr>
        <w:spacing w:before="60"/>
        <w:ind w:left="992" w:hanging="567"/>
        <w:rPr>
          <w:rFonts w:ascii="Times New Roman" w:hAnsi="Times New Roman" w:cs="Times New Roman"/>
          <w:color w:val="auto"/>
          <w:sz w:val="24"/>
          <w:szCs w:val="24"/>
        </w:rPr>
      </w:pPr>
      <w:r w:rsidRPr="009318BD">
        <w:rPr>
          <w:rFonts w:ascii="Times New Roman" w:hAnsi="Times New Roman" w:cs="Times New Roman"/>
          <w:color w:val="auto"/>
          <w:sz w:val="24"/>
          <w:szCs w:val="24"/>
        </w:rPr>
        <w:t>Ja visas iepriekš norādītas darbības ir veiktas</w:t>
      </w:r>
      <w:r w:rsidR="004C4EA5" w:rsidRPr="009318BD">
        <w:rPr>
          <w:rFonts w:ascii="Times New Roman" w:hAnsi="Times New Roman" w:cs="Times New Roman"/>
          <w:color w:val="auto"/>
          <w:sz w:val="24"/>
          <w:szCs w:val="24"/>
        </w:rPr>
        <w:t xml:space="preserve">, izvēlas </w:t>
      </w:r>
      <w:r w:rsidR="009318BD">
        <w:rPr>
          <w:rFonts w:ascii="Times New Roman" w:hAnsi="Times New Roman" w:cs="Times New Roman"/>
          <w:color w:val="auto"/>
          <w:sz w:val="24"/>
          <w:szCs w:val="24"/>
        </w:rPr>
        <w:t>darbību</w:t>
      </w:r>
      <w:r w:rsidR="00404A0A" w:rsidRPr="009318BD">
        <w:rPr>
          <w:rFonts w:ascii="Times New Roman" w:hAnsi="Times New Roman" w:cs="Times New Roman"/>
          <w:color w:val="auto"/>
          <w:sz w:val="24"/>
          <w:szCs w:val="24"/>
        </w:rPr>
        <w:t xml:space="preserve"> </w:t>
      </w:r>
      <w:r w:rsidR="004C4EA5" w:rsidRPr="009318BD">
        <w:rPr>
          <w:rFonts w:ascii="Times New Roman" w:hAnsi="Times New Roman" w:cs="Times New Roman"/>
          <w:color w:val="auto"/>
          <w:sz w:val="24"/>
          <w:szCs w:val="24"/>
        </w:rPr>
        <w:t>“Iniciēt dokumentācijas apkopojum</w:t>
      </w:r>
      <w:r w:rsidR="00404A0A" w:rsidRPr="009318BD">
        <w:rPr>
          <w:rFonts w:ascii="Times New Roman" w:hAnsi="Times New Roman" w:cs="Times New Roman"/>
          <w:color w:val="auto"/>
          <w:sz w:val="24"/>
          <w:szCs w:val="24"/>
        </w:rPr>
        <w:t>u</w:t>
      </w:r>
      <w:r w:rsidR="004C4EA5" w:rsidRPr="009318BD">
        <w:rPr>
          <w:rFonts w:ascii="Times New Roman" w:hAnsi="Times New Roman" w:cs="Times New Roman"/>
          <w:color w:val="auto"/>
          <w:sz w:val="24"/>
          <w:szCs w:val="24"/>
        </w:rPr>
        <w:t xml:space="preserve"> izveidi”.</w:t>
      </w:r>
    </w:p>
    <w:p w:rsidR="004C4EA5" w:rsidRDefault="00B27D93" w:rsidP="003F34D0">
      <w:pPr>
        <w:ind w:left="993"/>
      </w:pPr>
      <w:r>
        <w:rPr>
          <w:noProof/>
          <w:lang w:eastAsia="lv-LV"/>
        </w:rPr>
        <w:drawing>
          <wp:inline distT="0" distB="0" distL="0" distR="0">
            <wp:extent cx="5868063" cy="13958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5040" cy="1395169"/>
                    </a:xfrm>
                    <a:prstGeom prst="rect">
                      <a:avLst/>
                    </a:prstGeom>
                    <a:noFill/>
                    <a:ln>
                      <a:noFill/>
                    </a:ln>
                  </pic:spPr>
                </pic:pic>
              </a:graphicData>
            </a:graphic>
          </wp:inline>
        </w:drawing>
      </w:r>
    </w:p>
    <w:p w:rsidR="00FA0E86" w:rsidRPr="001E4DAD" w:rsidRDefault="00EE48AF" w:rsidP="00B37022">
      <w:pPr>
        <w:pStyle w:val="Heading2"/>
        <w:numPr>
          <w:ilvl w:val="1"/>
          <w:numId w:val="2"/>
        </w:numPr>
        <w:spacing w:before="60"/>
        <w:ind w:left="992" w:hanging="567"/>
        <w:rPr>
          <w:rFonts w:ascii="Times New Roman" w:hAnsi="Times New Roman" w:cs="Times New Roman"/>
          <w:color w:val="auto"/>
          <w:sz w:val="24"/>
          <w:szCs w:val="24"/>
        </w:rPr>
      </w:pPr>
      <w:r w:rsidRPr="009318BD">
        <w:rPr>
          <w:rFonts w:ascii="Times New Roman" w:hAnsi="Times New Roman" w:cs="Times New Roman"/>
          <w:color w:val="auto"/>
          <w:sz w:val="24"/>
          <w:szCs w:val="24"/>
        </w:rPr>
        <w:t xml:space="preserve">Izveidots dokumentācijas apkopojums </w:t>
      </w:r>
      <w:r w:rsidR="009F05B5" w:rsidRPr="009318BD">
        <w:rPr>
          <w:rFonts w:ascii="Times New Roman" w:hAnsi="Times New Roman" w:cs="Times New Roman"/>
          <w:color w:val="auto"/>
          <w:sz w:val="24"/>
          <w:szCs w:val="24"/>
        </w:rPr>
        <w:t xml:space="preserve">apskatāms izvēršamajā </w:t>
      </w:r>
      <w:r w:rsidR="000763AC">
        <w:rPr>
          <w:rFonts w:ascii="Times New Roman" w:hAnsi="Times New Roman" w:cs="Times New Roman"/>
          <w:color w:val="auto"/>
          <w:sz w:val="24"/>
          <w:szCs w:val="24"/>
        </w:rPr>
        <w:t>blokā</w:t>
      </w:r>
      <w:r w:rsidR="009F05B5" w:rsidRPr="009318BD">
        <w:rPr>
          <w:rFonts w:ascii="Times New Roman" w:hAnsi="Times New Roman" w:cs="Times New Roman"/>
          <w:color w:val="auto"/>
          <w:sz w:val="24"/>
          <w:szCs w:val="24"/>
        </w:rPr>
        <w:t xml:space="preserve"> „Iepirkuma dokumentācijas apkopojumi”</w:t>
      </w:r>
      <w:r w:rsidR="00BD238E">
        <w:rPr>
          <w:rFonts w:ascii="Times New Roman" w:hAnsi="Times New Roman" w:cs="Times New Roman"/>
          <w:color w:val="auto"/>
          <w:sz w:val="24"/>
          <w:szCs w:val="24"/>
        </w:rPr>
        <w:t>.</w:t>
      </w:r>
      <w:r w:rsidR="001E4DAD">
        <w:rPr>
          <w:rFonts w:ascii="Times New Roman" w:hAnsi="Times New Roman" w:cs="Times New Roman"/>
          <w:color w:val="auto"/>
          <w:sz w:val="24"/>
          <w:szCs w:val="24"/>
        </w:rPr>
        <w:t xml:space="preserve"> L</w:t>
      </w:r>
      <w:r w:rsidR="00FA0E86" w:rsidRPr="001E4DAD">
        <w:rPr>
          <w:rFonts w:ascii="Times New Roman" w:hAnsi="Times New Roman" w:cs="Times New Roman"/>
          <w:color w:val="auto"/>
          <w:sz w:val="24"/>
          <w:szCs w:val="24"/>
        </w:rPr>
        <w:t xml:space="preserve">ai apskatītu </w:t>
      </w:r>
      <w:r w:rsidR="00DB2A3C" w:rsidRPr="001E4DAD">
        <w:rPr>
          <w:rFonts w:ascii="Times New Roman" w:hAnsi="Times New Roman" w:cs="Times New Roman"/>
          <w:color w:val="auto"/>
          <w:sz w:val="24"/>
          <w:szCs w:val="24"/>
        </w:rPr>
        <w:t xml:space="preserve">apkopojumā iekļautus </w:t>
      </w:r>
      <w:r w:rsidR="00FA0E86" w:rsidRPr="001E4DAD">
        <w:rPr>
          <w:rFonts w:ascii="Times New Roman" w:hAnsi="Times New Roman" w:cs="Times New Roman"/>
          <w:color w:val="auto"/>
          <w:sz w:val="24"/>
          <w:szCs w:val="24"/>
        </w:rPr>
        <w:t>dokument</w:t>
      </w:r>
      <w:r w:rsidR="00DB2A3C" w:rsidRPr="001E4DAD">
        <w:rPr>
          <w:rFonts w:ascii="Times New Roman" w:hAnsi="Times New Roman" w:cs="Times New Roman"/>
          <w:color w:val="auto"/>
          <w:sz w:val="24"/>
          <w:szCs w:val="24"/>
        </w:rPr>
        <w:t>us</w:t>
      </w:r>
      <w:r w:rsidR="00FA0E86" w:rsidRPr="001E4DAD">
        <w:rPr>
          <w:rFonts w:ascii="Times New Roman" w:hAnsi="Times New Roman" w:cs="Times New Roman"/>
          <w:color w:val="auto"/>
          <w:sz w:val="24"/>
          <w:szCs w:val="24"/>
        </w:rPr>
        <w:t xml:space="preserve">, </w:t>
      </w:r>
      <w:r w:rsidR="00DB2A3C" w:rsidRPr="001E4DAD">
        <w:rPr>
          <w:rFonts w:ascii="Times New Roman" w:hAnsi="Times New Roman" w:cs="Times New Roman"/>
          <w:color w:val="auto"/>
          <w:sz w:val="24"/>
          <w:szCs w:val="24"/>
        </w:rPr>
        <w:t>jā</w:t>
      </w:r>
      <w:r w:rsidR="00BD238E" w:rsidRPr="001E4DAD">
        <w:rPr>
          <w:rFonts w:ascii="Times New Roman" w:hAnsi="Times New Roman" w:cs="Times New Roman"/>
          <w:color w:val="auto"/>
          <w:sz w:val="24"/>
          <w:szCs w:val="24"/>
        </w:rPr>
        <w:t>izvēlas simbols</w:t>
      </w:r>
      <w:r w:rsidR="00FA0E86" w:rsidRPr="001E4DAD">
        <w:rPr>
          <w:rFonts w:ascii="Times New Roman" w:hAnsi="Times New Roman" w:cs="Times New Roman"/>
          <w:color w:val="auto"/>
          <w:sz w:val="24"/>
          <w:szCs w:val="24"/>
        </w:rPr>
        <w:t xml:space="preserve"> „Apskatīt iekļauto datņu sarakstu”</w:t>
      </w:r>
      <w:r w:rsidR="00F6562A" w:rsidRPr="001E4DAD">
        <w:rPr>
          <w:rFonts w:ascii="Times New Roman" w:hAnsi="Times New Roman" w:cs="Times New Roman"/>
          <w:color w:val="auto"/>
          <w:sz w:val="24"/>
          <w:szCs w:val="24"/>
        </w:rPr>
        <w:t>.</w:t>
      </w:r>
    </w:p>
    <w:p w:rsidR="00FA0E86" w:rsidRDefault="00B27D93" w:rsidP="003F34D0">
      <w:pPr>
        <w:ind w:left="993"/>
      </w:pPr>
      <w:r>
        <w:rPr>
          <w:noProof/>
          <w:lang w:eastAsia="lv-LV"/>
        </w:rPr>
        <w:drawing>
          <wp:inline distT="0" distB="0" distL="0" distR="0">
            <wp:extent cx="5916708" cy="9144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046" cy="917543"/>
                    </a:xfrm>
                    <a:prstGeom prst="rect">
                      <a:avLst/>
                    </a:prstGeom>
                    <a:noFill/>
                    <a:ln>
                      <a:noFill/>
                    </a:ln>
                  </pic:spPr>
                </pic:pic>
              </a:graphicData>
            </a:graphic>
          </wp:inline>
        </w:drawing>
      </w:r>
    </w:p>
    <w:p w:rsidR="00B27D93" w:rsidRDefault="00B27D93" w:rsidP="003F34D0">
      <w:pPr>
        <w:ind w:left="993"/>
      </w:pPr>
    </w:p>
    <w:p w:rsidR="00FA0E86" w:rsidRPr="009318BD" w:rsidRDefault="00FA0E86" w:rsidP="00B37022">
      <w:pPr>
        <w:pStyle w:val="Heading2"/>
        <w:numPr>
          <w:ilvl w:val="1"/>
          <w:numId w:val="2"/>
        </w:numPr>
        <w:spacing w:before="60"/>
        <w:ind w:left="992" w:hanging="567"/>
        <w:rPr>
          <w:rFonts w:ascii="Times New Roman" w:hAnsi="Times New Roman" w:cs="Times New Roman"/>
          <w:color w:val="auto"/>
          <w:sz w:val="24"/>
          <w:szCs w:val="24"/>
        </w:rPr>
      </w:pPr>
      <w:r w:rsidRPr="009318BD">
        <w:rPr>
          <w:rFonts w:ascii="Times New Roman" w:hAnsi="Times New Roman" w:cs="Times New Roman"/>
          <w:color w:val="auto"/>
          <w:sz w:val="24"/>
          <w:szCs w:val="24"/>
        </w:rPr>
        <w:t xml:space="preserve">Lai apkopojumu varētu nosūtīt adresātiem, </w:t>
      </w:r>
      <w:r w:rsidR="00BD238E">
        <w:rPr>
          <w:rFonts w:ascii="Times New Roman" w:hAnsi="Times New Roman" w:cs="Times New Roman"/>
          <w:color w:val="auto"/>
          <w:sz w:val="24"/>
          <w:szCs w:val="24"/>
        </w:rPr>
        <w:t>jāizvēlas simbols</w:t>
      </w:r>
      <w:r w:rsidRPr="009318BD">
        <w:rPr>
          <w:rFonts w:ascii="Times New Roman" w:hAnsi="Times New Roman" w:cs="Times New Roman"/>
          <w:color w:val="auto"/>
          <w:sz w:val="24"/>
          <w:szCs w:val="24"/>
        </w:rPr>
        <w:t xml:space="preserve"> „Apskatīt”.</w:t>
      </w:r>
    </w:p>
    <w:p w:rsidR="00FA0E86" w:rsidRDefault="00B27D93" w:rsidP="003F34D0">
      <w:pPr>
        <w:ind w:left="993"/>
      </w:pPr>
      <w:r>
        <w:rPr>
          <w:noProof/>
          <w:lang w:eastAsia="lv-LV"/>
        </w:rPr>
        <w:drawing>
          <wp:inline distT="0" distB="0" distL="0" distR="0">
            <wp:extent cx="5963478" cy="92925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145" cy="929048"/>
                    </a:xfrm>
                    <a:prstGeom prst="rect">
                      <a:avLst/>
                    </a:prstGeom>
                    <a:noFill/>
                    <a:ln>
                      <a:noFill/>
                    </a:ln>
                  </pic:spPr>
                </pic:pic>
              </a:graphicData>
            </a:graphic>
          </wp:inline>
        </w:drawing>
      </w:r>
    </w:p>
    <w:p w:rsidR="003F34D0" w:rsidRPr="003F34D0" w:rsidRDefault="00FA0E86" w:rsidP="004A5B1F">
      <w:pPr>
        <w:pStyle w:val="Heading2"/>
        <w:numPr>
          <w:ilvl w:val="1"/>
          <w:numId w:val="2"/>
        </w:numPr>
        <w:spacing w:before="60"/>
        <w:ind w:left="993" w:hanging="567"/>
        <w:rPr>
          <w:rFonts w:ascii="Times New Roman" w:eastAsia="Times New Roman" w:hAnsi="Times New Roman" w:cs="Times New Roman"/>
          <w:bCs/>
          <w:color w:val="auto"/>
          <w:sz w:val="24"/>
          <w:szCs w:val="24"/>
        </w:rPr>
      </w:pPr>
      <w:r w:rsidRPr="003F34D0">
        <w:rPr>
          <w:rFonts w:ascii="Times New Roman" w:hAnsi="Times New Roman" w:cs="Times New Roman"/>
          <w:color w:val="auto"/>
          <w:sz w:val="24"/>
          <w:szCs w:val="24"/>
        </w:rPr>
        <w:lastRenderedPageBreak/>
        <w:t>Uznirstoša loga „Pieejas iepirkum</w:t>
      </w:r>
      <w:r w:rsidR="00795F55" w:rsidRPr="003F34D0">
        <w:rPr>
          <w:rFonts w:ascii="Times New Roman" w:hAnsi="Times New Roman" w:cs="Times New Roman"/>
          <w:color w:val="auto"/>
          <w:sz w:val="24"/>
          <w:szCs w:val="24"/>
        </w:rPr>
        <w:t>a</w:t>
      </w:r>
      <w:r w:rsidRPr="003F34D0">
        <w:rPr>
          <w:rFonts w:ascii="Times New Roman" w:hAnsi="Times New Roman" w:cs="Times New Roman"/>
          <w:color w:val="auto"/>
          <w:sz w:val="24"/>
          <w:szCs w:val="24"/>
        </w:rPr>
        <w:t xml:space="preserve"> dokumentācijas apkopojumam nosūtīšana uz e-pastu” </w:t>
      </w:r>
      <w:r w:rsidR="00795F55" w:rsidRPr="003F34D0">
        <w:rPr>
          <w:rFonts w:ascii="Times New Roman" w:hAnsi="Times New Roman" w:cs="Times New Roman"/>
          <w:color w:val="auto"/>
          <w:sz w:val="24"/>
          <w:szCs w:val="24"/>
        </w:rPr>
        <w:t>ievadlaukā</w:t>
      </w:r>
      <w:r w:rsidRPr="003F34D0">
        <w:rPr>
          <w:rFonts w:ascii="Times New Roman" w:hAnsi="Times New Roman" w:cs="Times New Roman"/>
          <w:color w:val="auto"/>
          <w:sz w:val="24"/>
          <w:szCs w:val="24"/>
        </w:rPr>
        <w:t xml:space="preserve"> „Adresāts” ieraksta </w:t>
      </w:r>
      <w:r w:rsidR="00795F55" w:rsidRPr="003F34D0">
        <w:rPr>
          <w:rFonts w:ascii="Times New Roman" w:hAnsi="Times New Roman" w:cs="Times New Roman"/>
          <w:color w:val="auto"/>
          <w:sz w:val="24"/>
          <w:szCs w:val="24"/>
        </w:rPr>
        <w:t xml:space="preserve">apkopojuma </w:t>
      </w:r>
      <w:r w:rsidRPr="003F34D0">
        <w:rPr>
          <w:rFonts w:ascii="Times New Roman" w:hAnsi="Times New Roman" w:cs="Times New Roman"/>
          <w:color w:val="auto"/>
          <w:sz w:val="24"/>
          <w:szCs w:val="24"/>
        </w:rPr>
        <w:t>saņēmēja e-pasta adresi</w:t>
      </w:r>
      <w:r w:rsidR="00BD238E" w:rsidRPr="003F34D0">
        <w:rPr>
          <w:rFonts w:ascii="Times New Roman" w:hAnsi="Times New Roman" w:cs="Times New Roman"/>
          <w:color w:val="auto"/>
          <w:sz w:val="24"/>
          <w:szCs w:val="24"/>
        </w:rPr>
        <w:t>.</w:t>
      </w:r>
      <w:r w:rsidR="003F34D0">
        <w:rPr>
          <w:rFonts w:ascii="Times New Roman" w:hAnsi="Times New Roman" w:cs="Times New Roman"/>
          <w:color w:val="auto"/>
          <w:sz w:val="24"/>
          <w:szCs w:val="24"/>
        </w:rPr>
        <w:tab/>
      </w:r>
      <w:r w:rsidR="003F34D0">
        <w:rPr>
          <w:rFonts w:ascii="Times New Roman" w:hAnsi="Times New Roman" w:cs="Times New Roman"/>
          <w:color w:val="auto"/>
          <w:sz w:val="24"/>
          <w:szCs w:val="24"/>
        </w:rPr>
        <w:br/>
      </w:r>
      <w:r w:rsidR="00BD238E" w:rsidRPr="003F34D0">
        <w:rPr>
          <w:rFonts w:ascii="Times New Roman" w:eastAsia="Times New Roman" w:hAnsi="Times New Roman" w:cs="Times New Roman"/>
          <w:b/>
          <w:bCs/>
          <w:color w:val="FF0000"/>
          <w:sz w:val="24"/>
          <w:szCs w:val="24"/>
        </w:rPr>
        <w:t>! Uzmanību</w:t>
      </w:r>
      <w:r w:rsidR="00BD238E" w:rsidRPr="003F34D0">
        <w:rPr>
          <w:rFonts w:ascii="Times New Roman" w:eastAsia="Times New Roman" w:hAnsi="Times New Roman" w:cs="Times New Roman"/>
          <w:bCs/>
          <w:color w:val="FF0000"/>
          <w:sz w:val="24"/>
          <w:szCs w:val="24"/>
        </w:rPr>
        <w:t xml:space="preserve"> </w:t>
      </w:r>
      <w:r w:rsidR="00BD238E" w:rsidRPr="003F34D0">
        <w:rPr>
          <w:rFonts w:ascii="Times New Roman" w:eastAsia="Times New Roman" w:hAnsi="Times New Roman" w:cs="Times New Roman"/>
          <w:bCs/>
          <w:color w:val="auto"/>
          <w:sz w:val="24"/>
          <w:szCs w:val="24"/>
        </w:rPr>
        <w:t>I</w:t>
      </w:r>
      <w:r w:rsidR="00B00C11" w:rsidRPr="003F34D0">
        <w:rPr>
          <w:rFonts w:ascii="Times New Roman" w:eastAsia="Times New Roman" w:hAnsi="Times New Roman" w:cs="Times New Roman"/>
          <w:bCs/>
          <w:color w:val="auto"/>
          <w:sz w:val="24"/>
          <w:szCs w:val="24"/>
        </w:rPr>
        <w:t>evadlaukā</w:t>
      </w:r>
      <w:r w:rsidR="001D46B1" w:rsidRPr="003F34D0">
        <w:rPr>
          <w:rFonts w:ascii="Times New Roman" w:eastAsia="Times New Roman" w:hAnsi="Times New Roman" w:cs="Times New Roman"/>
          <w:bCs/>
          <w:color w:val="auto"/>
          <w:sz w:val="24"/>
          <w:szCs w:val="24"/>
        </w:rPr>
        <w:t xml:space="preserve"> iespējams norā</w:t>
      </w:r>
      <w:r w:rsidR="003F34D0" w:rsidRPr="003F34D0">
        <w:rPr>
          <w:rFonts w:ascii="Times New Roman" w:eastAsia="Times New Roman" w:hAnsi="Times New Roman" w:cs="Times New Roman"/>
          <w:bCs/>
          <w:color w:val="auto"/>
          <w:sz w:val="24"/>
          <w:szCs w:val="24"/>
        </w:rPr>
        <w:t>dīt tikai vienu e-pasta adresi.</w:t>
      </w:r>
    </w:p>
    <w:p w:rsidR="00BE21A0" w:rsidRPr="00BE21A0" w:rsidRDefault="00795F55" w:rsidP="00BE21A0">
      <w:pPr>
        <w:pStyle w:val="Heading2"/>
        <w:spacing w:before="60"/>
        <w:ind w:left="992"/>
        <w:rPr>
          <w:rFonts w:ascii="Times New Roman" w:hAnsi="Times New Roman" w:cs="Times New Roman"/>
          <w:color w:val="auto"/>
          <w:sz w:val="24"/>
          <w:szCs w:val="24"/>
        </w:rPr>
      </w:pPr>
      <w:r w:rsidRPr="00B37022">
        <w:rPr>
          <w:rFonts w:ascii="Times New Roman" w:hAnsi="Times New Roman" w:cs="Times New Roman"/>
          <w:color w:val="auto"/>
          <w:sz w:val="24"/>
          <w:szCs w:val="24"/>
        </w:rPr>
        <w:t>Ievadl</w:t>
      </w:r>
      <w:r w:rsidR="006D0F35" w:rsidRPr="00B37022">
        <w:rPr>
          <w:rFonts w:ascii="Times New Roman" w:hAnsi="Times New Roman" w:cs="Times New Roman"/>
          <w:color w:val="auto"/>
          <w:sz w:val="24"/>
          <w:szCs w:val="24"/>
        </w:rPr>
        <w:t xml:space="preserve">aukā „Paroles paziņošanas veids” norāda veidu, kādā tiks veikta lietotājvārda un paroles paziņošana adresātam. Attēlojot paroli uz ekrāna vai nosūtot sev </w:t>
      </w:r>
      <w:r w:rsidR="00990C72" w:rsidRPr="00B37022">
        <w:rPr>
          <w:rFonts w:ascii="Times New Roman" w:hAnsi="Times New Roman" w:cs="Times New Roman"/>
          <w:color w:val="auto"/>
          <w:sz w:val="24"/>
          <w:szCs w:val="24"/>
        </w:rPr>
        <w:t>(atsevišķā e-pastā)</w:t>
      </w:r>
      <w:r w:rsidR="006D0F35" w:rsidRPr="00B37022">
        <w:rPr>
          <w:rFonts w:ascii="Times New Roman" w:hAnsi="Times New Roman" w:cs="Times New Roman"/>
          <w:color w:val="auto"/>
          <w:sz w:val="24"/>
          <w:szCs w:val="24"/>
        </w:rPr>
        <w:t>,</w:t>
      </w:r>
      <w:r w:rsidR="00B00C11" w:rsidRPr="00B37022">
        <w:rPr>
          <w:rFonts w:ascii="Times New Roman" w:hAnsi="Times New Roman" w:cs="Times New Roman"/>
          <w:color w:val="auto"/>
          <w:sz w:val="24"/>
          <w:szCs w:val="24"/>
        </w:rPr>
        <w:t xml:space="preserve"> </w:t>
      </w:r>
      <w:r w:rsidR="006D0F35" w:rsidRPr="00B37022">
        <w:rPr>
          <w:rFonts w:ascii="Times New Roman" w:hAnsi="Times New Roman" w:cs="Times New Roman"/>
          <w:color w:val="auto"/>
          <w:sz w:val="24"/>
          <w:szCs w:val="24"/>
        </w:rPr>
        <w:t xml:space="preserve">saņemto informāciju </w:t>
      </w:r>
      <w:r w:rsidR="00B00C11" w:rsidRPr="00B37022">
        <w:rPr>
          <w:rFonts w:ascii="Times New Roman" w:hAnsi="Times New Roman" w:cs="Times New Roman"/>
          <w:color w:val="auto"/>
          <w:sz w:val="24"/>
          <w:szCs w:val="24"/>
        </w:rPr>
        <w:t xml:space="preserve">nokopējot </w:t>
      </w:r>
      <w:r w:rsidR="006D0F35" w:rsidRPr="00B37022">
        <w:rPr>
          <w:rFonts w:ascii="Times New Roman" w:hAnsi="Times New Roman" w:cs="Times New Roman"/>
          <w:color w:val="auto"/>
          <w:sz w:val="24"/>
          <w:szCs w:val="24"/>
        </w:rPr>
        <w:t xml:space="preserve">ir iespējams </w:t>
      </w:r>
      <w:r w:rsidR="00990C72" w:rsidRPr="00B37022">
        <w:rPr>
          <w:rFonts w:ascii="Times New Roman" w:hAnsi="Times New Roman" w:cs="Times New Roman"/>
          <w:color w:val="auto"/>
          <w:sz w:val="24"/>
          <w:szCs w:val="24"/>
        </w:rPr>
        <w:t xml:space="preserve">noformēt nepieciešamības gadījumā </w:t>
      </w:r>
      <w:r w:rsidR="00B00C11" w:rsidRPr="00B37022">
        <w:rPr>
          <w:rFonts w:ascii="Times New Roman" w:hAnsi="Times New Roman" w:cs="Times New Roman"/>
          <w:color w:val="auto"/>
          <w:sz w:val="24"/>
          <w:szCs w:val="24"/>
        </w:rPr>
        <w:t xml:space="preserve">arī </w:t>
      </w:r>
      <w:r w:rsidR="006D0F35" w:rsidRPr="00B37022">
        <w:rPr>
          <w:rFonts w:ascii="Times New Roman" w:hAnsi="Times New Roman" w:cs="Times New Roman"/>
          <w:color w:val="auto"/>
          <w:sz w:val="24"/>
          <w:szCs w:val="24"/>
        </w:rPr>
        <w:t>atsevišķā pavadvēstulē.</w:t>
      </w:r>
      <w:r w:rsidR="006E326B" w:rsidRPr="00B37022">
        <w:rPr>
          <w:rFonts w:ascii="Times New Roman" w:hAnsi="Times New Roman" w:cs="Times New Roman"/>
          <w:color w:val="auto"/>
          <w:sz w:val="24"/>
          <w:szCs w:val="24"/>
        </w:rPr>
        <w:t xml:space="preserve"> Paroles paziņošanas veidus </w:t>
      </w:r>
      <w:r w:rsidR="00CA3AC1" w:rsidRPr="00B37022">
        <w:rPr>
          <w:rFonts w:ascii="Times New Roman" w:hAnsi="Times New Roman" w:cs="Times New Roman"/>
          <w:color w:val="auto"/>
          <w:sz w:val="24"/>
          <w:szCs w:val="24"/>
        </w:rPr>
        <w:t xml:space="preserve">vienlaicīgi </w:t>
      </w:r>
      <w:r w:rsidR="006E326B" w:rsidRPr="00B37022">
        <w:rPr>
          <w:rFonts w:ascii="Times New Roman" w:hAnsi="Times New Roman" w:cs="Times New Roman"/>
          <w:color w:val="auto"/>
          <w:sz w:val="24"/>
          <w:szCs w:val="24"/>
        </w:rPr>
        <w:t>var izvēlēties vairākus.</w:t>
      </w:r>
      <w:r w:rsidR="00BD238E" w:rsidRPr="00B37022">
        <w:rPr>
          <w:rFonts w:ascii="Times New Roman" w:hAnsi="Times New Roman" w:cs="Times New Roman"/>
          <w:color w:val="auto"/>
          <w:sz w:val="24"/>
          <w:szCs w:val="24"/>
        </w:rPr>
        <w:t xml:space="preserve"> </w:t>
      </w:r>
      <w:r w:rsidRPr="00B37022">
        <w:rPr>
          <w:rFonts w:ascii="Times New Roman" w:hAnsi="Times New Roman" w:cs="Times New Roman"/>
          <w:color w:val="auto"/>
          <w:sz w:val="24"/>
          <w:szCs w:val="24"/>
        </w:rPr>
        <w:t>Atsevišķi no šī e-pasta lietotājvārdu un paroli, lai adresāts varētu piekļūt uz FTP servera izvietotajai informācijai</w:t>
      </w:r>
      <w:r w:rsidR="00343074" w:rsidRPr="00B37022">
        <w:rPr>
          <w:rFonts w:ascii="Times New Roman" w:hAnsi="Times New Roman" w:cs="Times New Roman"/>
          <w:color w:val="auto"/>
          <w:sz w:val="24"/>
          <w:szCs w:val="24"/>
        </w:rPr>
        <w:t>,</w:t>
      </w:r>
      <w:r w:rsidRPr="00B37022">
        <w:rPr>
          <w:rFonts w:ascii="Times New Roman" w:hAnsi="Times New Roman" w:cs="Times New Roman"/>
          <w:color w:val="auto"/>
          <w:sz w:val="24"/>
          <w:szCs w:val="24"/>
        </w:rPr>
        <w:t xml:space="preserve"> sistēma ģenerē pati automātiski.</w:t>
      </w:r>
      <w:r w:rsidR="00BD238E" w:rsidRPr="00B37022">
        <w:rPr>
          <w:rFonts w:ascii="Times New Roman" w:hAnsi="Times New Roman" w:cs="Times New Roman"/>
          <w:color w:val="auto"/>
          <w:sz w:val="24"/>
          <w:szCs w:val="24"/>
        </w:rPr>
        <w:t xml:space="preserve"> </w:t>
      </w:r>
      <w:r w:rsidR="006D0F35" w:rsidRPr="00B37022">
        <w:rPr>
          <w:rFonts w:ascii="Times New Roman" w:hAnsi="Times New Roman" w:cs="Times New Roman"/>
          <w:color w:val="auto"/>
          <w:sz w:val="24"/>
          <w:szCs w:val="24"/>
        </w:rPr>
        <w:t xml:space="preserve">Pēc nepieciešamās informācijas norādīšanas, </w:t>
      </w:r>
      <w:r w:rsidR="00990C72" w:rsidRPr="00B37022">
        <w:rPr>
          <w:rFonts w:ascii="Times New Roman" w:hAnsi="Times New Roman" w:cs="Times New Roman"/>
          <w:color w:val="auto"/>
          <w:sz w:val="24"/>
          <w:szCs w:val="24"/>
        </w:rPr>
        <w:t xml:space="preserve">lai nosūtītu e-pasta vēstuli, izvēlas </w:t>
      </w:r>
      <w:r w:rsidR="001A46A2" w:rsidRPr="00B37022">
        <w:rPr>
          <w:rFonts w:ascii="Times New Roman" w:hAnsi="Times New Roman" w:cs="Times New Roman"/>
          <w:color w:val="auto"/>
          <w:sz w:val="24"/>
          <w:szCs w:val="24"/>
        </w:rPr>
        <w:t>darbību</w:t>
      </w:r>
      <w:r w:rsidR="00990C72" w:rsidRPr="00B37022">
        <w:rPr>
          <w:rFonts w:ascii="Times New Roman" w:hAnsi="Times New Roman" w:cs="Times New Roman"/>
          <w:color w:val="auto"/>
          <w:sz w:val="24"/>
          <w:szCs w:val="24"/>
        </w:rPr>
        <w:t xml:space="preserve"> “Sūtīt”</w:t>
      </w:r>
      <w:r w:rsidR="006D0F35" w:rsidRPr="00B37022">
        <w:rPr>
          <w:rFonts w:ascii="Times New Roman" w:hAnsi="Times New Roman" w:cs="Times New Roman"/>
          <w:color w:val="auto"/>
          <w:sz w:val="24"/>
          <w:szCs w:val="24"/>
        </w:rPr>
        <w:t>.</w:t>
      </w:r>
    </w:p>
    <w:p w:rsidR="006D0F35" w:rsidRDefault="00B27D93" w:rsidP="003F34D0">
      <w:pPr>
        <w:ind w:left="993"/>
      </w:pPr>
      <w:r>
        <w:rPr>
          <w:noProof/>
          <w:lang w:eastAsia="lv-LV"/>
        </w:rPr>
        <w:drawing>
          <wp:inline distT="0" distB="0" distL="0" distR="0">
            <wp:extent cx="5936220" cy="4134678"/>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856" cy="4135121"/>
                    </a:xfrm>
                    <a:prstGeom prst="rect">
                      <a:avLst/>
                    </a:prstGeom>
                    <a:noFill/>
                    <a:ln>
                      <a:noFill/>
                    </a:ln>
                  </pic:spPr>
                </pic:pic>
              </a:graphicData>
            </a:graphic>
          </wp:inline>
        </w:drawing>
      </w:r>
    </w:p>
    <w:p w:rsidR="005A630B" w:rsidRDefault="005A630B" w:rsidP="003F34D0">
      <w:pPr>
        <w:ind w:left="993"/>
      </w:pPr>
    </w:p>
    <w:p w:rsidR="006D0F35" w:rsidRPr="00BD238E" w:rsidRDefault="006D0F35" w:rsidP="00B37022">
      <w:pPr>
        <w:pStyle w:val="Heading2"/>
        <w:numPr>
          <w:ilvl w:val="1"/>
          <w:numId w:val="2"/>
        </w:numPr>
        <w:spacing w:before="60"/>
        <w:ind w:left="992" w:hanging="567"/>
        <w:rPr>
          <w:rFonts w:ascii="Times New Roman" w:hAnsi="Times New Roman" w:cs="Times New Roman"/>
          <w:color w:val="auto"/>
          <w:sz w:val="24"/>
          <w:szCs w:val="24"/>
        </w:rPr>
      </w:pPr>
      <w:r w:rsidRPr="00BD238E">
        <w:rPr>
          <w:rFonts w:ascii="Times New Roman" w:hAnsi="Times New Roman" w:cs="Times New Roman"/>
          <w:color w:val="auto"/>
          <w:sz w:val="24"/>
          <w:szCs w:val="24"/>
        </w:rPr>
        <w:t xml:space="preserve">Pēc informācijas nosūtīšanas, izvēršamajā </w:t>
      </w:r>
      <w:r w:rsidR="000763AC">
        <w:rPr>
          <w:rFonts w:ascii="Times New Roman" w:hAnsi="Times New Roman" w:cs="Times New Roman"/>
          <w:color w:val="auto"/>
          <w:sz w:val="24"/>
          <w:szCs w:val="24"/>
        </w:rPr>
        <w:t>blokā</w:t>
      </w:r>
      <w:r w:rsidRPr="00BD238E">
        <w:rPr>
          <w:rFonts w:ascii="Times New Roman" w:hAnsi="Times New Roman" w:cs="Times New Roman"/>
          <w:color w:val="auto"/>
          <w:sz w:val="24"/>
          <w:szCs w:val="24"/>
        </w:rPr>
        <w:t xml:space="preserve"> „Iepirkuma dokumentācijas apkopojumi” ir redzams, kuriem adresātiem apkopojums ir nosūtīts. Nepieciešamības gadījumā šo apkopojumu </w:t>
      </w:r>
      <w:r w:rsidR="004E2FB6" w:rsidRPr="00BD238E">
        <w:rPr>
          <w:rFonts w:ascii="Times New Roman" w:hAnsi="Times New Roman" w:cs="Times New Roman"/>
          <w:color w:val="auto"/>
          <w:sz w:val="24"/>
          <w:szCs w:val="24"/>
        </w:rPr>
        <w:t xml:space="preserve">ir iespējams </w:t>
      </w:r>
      <w:r w:rsidRPr="00BD238E">
        <w:rPr>
          <w:rFonts w:ascii="Times New Roman" w:hAnsi="Times New Roman" w:cs="Times New Roman"/>
          <w:color w:val="auto"/>
          <w:sz w:val="24"/>
          <w:szCs w:val="24"/>
        </w:rPr>
        <w:t xml:space="preserve">nosūtīt arī citiem </w:t>
      </w:r>
      <w:r w:rsidR="004E2FB6" w:rsidRPr="00BD238E">
        <w:rPr>
          <w:rFonts w:ascii="Times New Roman" w:hAnsi="Times New Roman" w:cs="Times New Roman"/>
          <w:color w:val="auto"/>
          <w:sz w:val="24"/>
          <w:szCs w:val="24"/>
        </w:rPr>
        <w:t>adresātiem</w:t>
      </w:r>
      <w:r w:rsidRPr="00BD238E">
        <w:rPr>
          <w:rFonts w:ascii="Times New Roman" w:hAnsi="Times New Roman" w:cs="Times New Roman"/>
          <w:color w:val="auto"/>
          <w:sz w:val="24"/>
          <w:szCs w:val="24"/>
        </w:rPr>
        <w:t xml:space="preserve">, </w:t>
      </w:r>
      <w:r w:rsidR="001A46A2">
        <w:rPr>
          <w:rFonts w:ascii="Times New Roman" w:hAnsi="Times New Roman" w:cs="Times New Roman"/>
          <w:color w:val="auto"/>
          <w:sz w:val="24"/>
          <w:szCs w:val="24"/>
        </w:rPr>
        <w:t>izvēloties simbolu</w:t>
      </w:r>
      <w:r w:rsidR="001D46B1" w:rsidRPr="00BD238E">
        <w:rPr>
          <w:rFonts w:ascii="Times New Roman" w:hAnsi="Times New Roman" w:cs="Times New Roman"/>
          <w:color w:val="auto"/>
          <w:sz w:val="24"/>
          <w:szCs w:val="24"/>
        </w:rPr>
        <w:t xml:space="preserve"> „Apskatīt”.</w:t>
      </w:r>
    </w:p>
    <w:p w:rsidR="004C4EA5" w:rsidRDefault="005A630B" w:rsidP="003F34D0">
      <w:pPr>
        <w:ind w:left="993"/>
      </w:pPr>
      <w:r>
        <w:rPr>
          <w:noProof/>
          <w:lang w:eastAsia="lv-LV"/>
        </w:rPr>
        <w:drawing>
          <wp:inline distT="0" distB="0" distL="0" distR="0" wp14:anchorId="4CA60F30" wp14:editId="19A18BB1">
            <wp:extent cx="5904655" cy="925787"/>
            <wp:effectExtent l="0" t="0" r="127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452" cy="929988"/>
                    </a:xfrm>
                    <a:prstGeom prst="rect">
                      <a:avLst/>
                    </a:prstGeom>
                    <a:noFill/>
                    <a:ln>
                      <a:noFill/>
                    </a:ln>
                  </pic:spPr>
                </pic:pic>
              </a:graphicData>
            </a:graphic>
          </wp:inline>
        </w:drawing>
      </w:r>
    </w:p>
    <w:sectPr w:rsidR="004C4EA5" w:rsidSect="009318BD">
      <w:footerReference w:type="default" r:id="rId15"/>
      <w:pgSz w:w="11906" w:h="16838"/>
      <w:pgMar w:top="851" w:right="1133"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C39" w:rsidRDefault="00227C39" w:rsidP="004C4EA5">
      <w:r>
        <w:separator/>
      </w:r>
    </w:p>
  </w:endnote>
  <w:endnote w:type="continuationSeparator" w:id="0">
    <w:p w:rsidR="00227C39" w:rsidRDefault="00227C39" w:rsidP="004C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96049"/>
      <w:docPartObj>
        <w:docPartGallery w:val="Page Numbers (Bottom of Page)"/>
        <w:docPartUnique/>
      </w:docPartObj>
    </w:sdtPr>
    <w:sdtEndPr>
      <w:rPr>
        <w:sz w:val="24"/>
        <w:szCs w:val="24"/>
      </w:rPr>
    </w:sdtEndPr>
    <w:sdtContent>
      <w:sdt>
        <w:sdtPr>
          <w:id w:val="1160882830"/>
          <w:docPartObj>
            <w:docPartGallery w:val="Page Numbers (Top of Page)"/>
            <w:docPartUnique/>
          </w:docPartObj>
        </w:sdtPr>
        <w:sdtEndPr>
          <w:rPr>
            <w:sz w:val="24"/>
            <w:szCs w:val="24"/>
          </w:rPr>
        </w:sdtEndPr>
        <w:sdtContent>
          <w:p w:rsidR="004C4EA5" w:rsidRPr="004C4EA5" w:rsidRDefault="004C4EA5">
            <w:pPr>
              <w:pStyle w:val="Footer"/>
              <w:jc w:val="right"/>
              <w:rPr>
                <w:sz w:val="24"/>
                <w:szCs w:val="24"/>
              </w:rPr>
            </w:pPr>
            <w:r w:rsidRPr="004C4EA5">
              <w:rPr>
                <w:bCs/>
                <w:sz w:val="24"/>
                <w:szCs w:val="24"/>
              </w:rPr>
              <w:fldChar w:fldCharType="begin"/>
            </w:r>
            <w:r w:rsidRPr="004C4EA5">
              <w:rPr>
                <w:bCs/>
                <w:sz w:val="24"/>
                <w:szCs w:val="24"/>
              </w:rPr>
              <w:instrText xml:space="preserve"> PAGE </w:instrText>
            </w:r>
            <w:r w:rsidRPr="004C4EA5">
              <w:rPr>
                <w:bCs/>
                <w:sz w:val="24"/>
                <w:szCs w:val="24"/>
              </w:rPr>
              <w:fldChar w:fldCharType="separate"/>
            </w:r>
            <w:r w:rsidR="00AA176A">
              <w:rPr>
                <w:bCs/>
                <w:noProof/>
                <w:sz w:val="24"/>
                <w:szCs w:val="24"/>
              </w:rPr>
              <w:t>1</w:t>
            </w:r>
            <w:r w:rsidRPr="004C4EA5">
              <w:rPr>
                <w:bCs/>
                <w:sz w:val="24"/>
                <w:szCs w:val="24"/>
              </w:rPr>
              <w:fldChar w:fldCharType="end"/>
            </w:r>
            <w:r w:rsidRPr="004C4EA5">
              <w:rPr>
                <w:sz w:val="24"/>
                <w:szCs w:val="24"/>
              </w:rPr>
              <w:t xml:space="preserve"> - </w:t>
            </w:r>
            <w:r w:rsidRPr="004C4EA5">
              <w:rPr>
                <w:bCs/>
                <w:sz w:val="24"/>
                <w:szCs w:val="24"/>
              </w:rPr>
              <w:fldChar w:fldCharType="begin"/>
            </w:r>
            <w:r w:rsidRPr="004C4EA5">
              <w:rPr>
                <w:bCs/>
                <w:sz w:val="24"/>
                <w:szCs w:val="24"/>
              </w:rPr>
              <w:instrText xml:space="preserve"> NUMPAGES  </w:instrText>
            </w:r>
            <w:r w:rsidRPr="004C4EA5">
              <w:rPr>
                <w:bCs/>
                <w:sz w:val="24"/>
                <w:szCs w:val="24"/>
              </w:rPr>
              <w:fldChar w:fldCharType="separate"/>
            </w:r>
            <w:r w:rsidR="00AA176A">
              <w:rPr>
                <w:bCs/>
                <w:noProof/>
                <w:sz w:val="24"/>
                <w:szCs w:val="24"/>
              </w:rPr>
              <w:t>3</w:t>
            </w:r>
            <w:r w:rsidRPr="004C4EA5">
              <w:rPr>
                <w:bCs/>
                <w:sz w:val="24"/>
                <w:szCs w:val="24"/>
              </w:rPr>
              <w:fldChar w:fldCharType="end"/>
            </w:r>
          </w:p>
        </w:sdtContent>
      </w:sdt>
    </w:sdtContent>
  </w:sdt>
  <w:p w:rsidR="004C4EA5" w:rsidRDefault="004C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C39" w:rsidRDefault="00227C39" w:rsidP="004C4EA5">
      <w:r>
        <w:separator/>
      </w:r>
    </w:p>
  </w:footnote>
  <w:footnote w:type="continuationSeparator" w:id="0">
    <w:p w:rsidR="00227C39" w:rsidRDefault="00227C39" w:rsidP="004C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8153F"/>
    <w:multiLevelType w:val="multilevel"/>
    <w:tmpl w:val="A3D487C6"/>
    <w:lvl w:ilvl="0">
      <w:start w:val="1"/>
      <w:numFmt w:val="decimal"/>
      <w:lvlText w:val="%1."/>
      <w:lvlJc w:val="left"/>
      <w:pPr>
        <w:ind w:left="720" w:hanging="360"/>
      </w:pPr>
    </w:lvl>
    <w:lvl w:ilvl="1">
      <w:start w:val="1"/>
      <w:numFmt w:val="decimal"/>
      <w:isLgl/>
      <w:lvlText w:val="%1.%2."/>
      <w:lvlJc w:val="left"/>
      <w:pPr>
        <w:ind w:left="1920" w:hanging="360"/>
      </w:pPr>
      <w:rPr>
        <w:rFonts w:ascii="Times New Roman" w:hAnsi="Times New Roman" w:cs="Times New Roman" w:hint="default"/>
        <w:color w:val="auto"/>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 w15:restartNumberingAfterBreak="0">
    <w:nsid w:val="78EA6A63"/>
    <w:multiLevelType w:val="multilevel"/>
    <w:tmpl w:val="2A9C282E"/>
    <w:lvl w:ilvl="0">
      <w:start w:val="1"/>
      <w:numFmt w:val="decimal"/>
      <w:lvlText w:val="%1."/>
      <w:lvlJc w:val="left"/>
      <w:pPr>
        <w:ind w:left="418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2" w15:restartNumberingAfterBreak="0">
    <w:nsid w:val="7F4969B3"/>
    <w:multiLevelType w:val="hybridMultilevel"/>
    <w:tmpl w:val="A1746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FC"/>
    <w:rsid w:val="000032EB"/>
    <w:rsid w:val="000763AC"/>
    <w:rsid w:val="000B1FE5"/>
    <w:rsid w:val="000C1A9E"/>
    <w:rsid w:val="000D1AF1"/>
    <w:rsid w:val="000E4889"/>
    <w:rsid w:val="000F44B0"/>
    <w:rsid w:val="000F74EA"/>
    <w:rsid w:val="00107C11"/>
    <w:rsid w:val="001305F6"/>
    <w:rsid w:val="00145A3F"/>
    <w:rsid w:val="00167D53"/>
    <w:rsid w:val="00176ED3"/>
    <w:rsid w:val="00181566"/>
    <w:rsid w:val="00187386"/>
    <w:rsid w:val="001A46A2"/>
    <w:rsid w:val="001B4289"/>
    <w:rsid w:val="001B587E"/>
    <w:rsid w:val="001B7947"/>
    <w:rsid w:val="001C2C4B"/>
    <w:rsid w:val="001D2360"/>
    <w:rsid w:val="001D46B1"/>
    <w:rsid w:val="001E4C8C"/>
    <w:rsid w:val="001E4DAD"/>
    <w:rsid w:val="001E5175"/>
    <w:rsid w:val="00210179"/>
    <w:rsid w:val="00223A64"/>
    <w:rsid w:val="00227C39"/>
    <w:rsid w:val="002440E3"/>
    <w:rsid w:val="00245773"/>
    <w:rsid w:val="00257F5E"/>
    <w:rsid w:val="002612A3"/>
    <w:rsid w:val="00292AE1"/>
    <w:rsid w:val="002A3017"/>
    <w:rsid w:val="002B416A"/>
    <w:rsid w:val="003117AA"/>
    <w:rsid w:val="00323B2C"/>
    <w:rsid w:val="003426EB"/>
    <w:rsid w:val="00343074"/>
    <w:rsid w:val="003437D3"/>
    <w:rsid w:val="00350457"/>
    <w:rsid w:val="00383A4D"/>
    <w:rsid w:val="003A570C"/>
    <w:rsid w:val="003C56AF"/>
    <w:rsid w:val="003C6E8D"/>
    <w:rsid w:val="003D270B"/>
    <w:rsid w:val="003E7FF2"/>
    <w:rsid w:val="003F34D0"/>
    <w:rsid w:val="00403C77"/>
    <w:rsid w:val="00404A0A"/>
    <w:rsid w:val="00420929"/>
    <w:rsid w:val="004319E1"/>
    <w:rsid w:val="00433F95"/>
    <w:rsid w:val="00434529"/>
    <w:rsid w:val="00471617"/>
    <w:rsid w:val="0049257C"/>
    <w:rsid w:val="004A1DB4"/>
    <w:rsid w:val="004B4397"/>
    <w:rsid w:val="004B760B"/>
    <w:rsid w:val="004C4EA5"/>
    <w:rsid w:val="004C7550"/>
    <w:rsid w:val="004E2FB6"/>
    <w:rsid w:val="004E50D1"/>
    <w:rsid w:val="004F3B23"/>
    <w:rsid w:val="00511E60"/>
    <w:rsid w:val="00513639"/>
    <w:rsid w:val="005354A8"/>
    <w:rsid w:val="00560DCB"/>
    <w:rsid w:val="005643B8"/>
    <w:rsid w:val="00565D0A"/>
    <w:rsid w:val="00571F52"/>
    <w:rsid w:val="0058696F"/>
    <w:rsid w:val="005A0C30"/>
    <w:rsid w:val="005A630B"/>
    <w:rsid w:val="005B5FF5"/>
    <w:rsid w:val="005C3F7B"/>
    <w:rsid w:val="005D4554"/>
    <w:rsid w:val="00623AFE"/>
    <w:rsid w:val="00632F3C"/>
    <w:rsid w:val="00642946"/>
    <w:rsid w:val="006443F8"/>
    <w:rsid w:val="00665ED1"/>
    <w:rsid w:val="0069449C"/>
    <w:rsid w:val="006C0673"/>
    <w:rsid w:val="006C1719"/>
    <w:rsid w:val="006D0F35"/>
    <w:rsid w:val="006E326B"/>
    <w:rsid w:val="006F2A5B"/>
    <w:rsid w:val="00705D7C"/>
    <w:rsid w:val="007869F7"/>
    <w:rsid w:val="007925C2"/>
    <w:rsid w:val="00795F55"/>
    <w:rsid w:val="007B6BDB"/>
    <w:rsid w:val="007C66AD"/>
    <w:rsid w:val="007E0EFD"/>
    <w:rsid w:val="007F07F1"/>
    <w:rsid w:val="0080592D"/>
    <w:rsid w:val="00815146"/>
    <w:rsid w:val="00816AC7"/>
    <w:rsid w:val="008249D0"/>
    <w:rsid w:val="00833B9F"/>
    <w:rsid w:val="0084202E"/>
    <w:rsid w:val="008510AA"/>
    <w:rsid w:val="00887266"/>
    <w:rsid w:val="008B3198"/>
    <w:rsid w:val="008B4B37"/>
    <w:rsid w:val="008E7C7A"/>
    <w:rsid w:val="008F3AFC"/>
    <w:rsid w:val="0090303E"/>
    <w:rsid w:val="0092427E"/>
    <w:rsid w:val="009318BD"/>
    <w:rsid w:val="00935FC1"/>
    <w:rsid w:val="00942A89"/>
    <w:rsid w:val="00947060"/>
    <w:rsid w:val="00956329"/>
    <w:rsid w:val="0095719A"/>
    <w:rsid w:val="00982513"/>
    <w:rsid w:val="0098659A"/>
    <w:rsid w:val="00990C72"/>
    <w:rsid w:val="009B5A2E"/>
    <w:rsid w:val="009C57CA"/>
    <w:rsid w:val="009D0685"/>
    <w:rsid w:val="009E6E69"/>
    <w:rsid w:val="009F05B5"/>
    <w:rsid w:val="00A35D53"/>
    <w:rsid w:val="00AA176A"/>
    <w:rsid w:val="00AB650F"/>
    <w:rsid w:val="00AD0D93"/>
    <w:rsid w:val="00AF615B"/>
    <w:rsid w:val="00AF73B3"/>
    <w:rsid w:val="00B00C11"/>
    <w:rsid w:val="00B235D5"/>
    <w:rsid w:val="00B27D93"/>
    <w:rsid w:val="00B37022"/>
    <w:rsid w:val="00B557A5"/>
    <w:rsid w:val="00B711A2"/>
    <w:rsid w:val="00BA0A45"/>
    <w:rsid w:val="00BA1614"/>
    <w:rsid w:val="00BD238E"/>
    <w:rsid w:val="00BD6FAA"/>
    <w:rsid w:val="00BE21A0"/>
    <w:rsid w:val="00BF34E5"/>
    <w:rsid w:val="00C01ED1"/>
    <w:rsid w:val="00C20320"/>
    <w:rsid w:val="00C271FD"/>
    <w:rsid w:val="00C30371"/>
    <w:rsid w:val="00C45EBC"/>
    <w:rsid w:val="00C50727"/>
    <w:rsid w:val="00C60E92"/>
    <w:rsid w:val="00C83903"/>
    <w:rsid w:val="00CA3AC1"/>
    <w:rsid w:val="00CB4E57"/>
    <w:rsid w:val="00CD0150"/>
    <w:rsid w:val="00D11769"/>
    <w:rsid w:val="00D25623"/>
    <w:rsid w:val="00D26226"/>
    <w:rsid w:val="00D46615"/>
    <w:rsid w:val="00D764F5"/>
    <w:rsid w:val="00D9073F"/>
    <w:rsid w:val="00D91F33"/>
    <w:rsid w:val="00DB2A3C"/>
    <w:rsid w:val="00DC6345"/>
    <w:rsid w:val="00DE20D6"/>
    <w:rsid w:val="00E04875"/>
    <w:rsid w:val="00E25F14"/>
    <w:rsid w:val="00E27E3F"/>
    <w:rsid w:val="00E35BD2"/>
    <w:rsid w:val="00E4299B"/>
    <w:rsid w:val="00E544D3"/>
    <w:rsid w:val="00E6311B"/>
    <w:rsid w:val="00E71DC9"/>
    <w:rsid w:val="00EB0FD5"/>
    <w:rsid w:val="00EB55FF"/>
    <w:rsid w:val="00EC67BC"/>
    <w:rsid w:val="00EE48AF"/>
    <w:rsid w:val="00EF3A20"/>
    <w:rsid w:val="00F500A5"/>
    <w:rsid w:val="00F503A4"/>
    <w:rsid w:val="00F6562A"/>
    <w:rsid w:val="00F7726E"/>
    <w:rsid w:val="00F81683"/>
    <w:rsid w:val="00F93C58"/>
    <w:rsid w:val="00FA0E86"/>
    <w:rsid w:val="00FE36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80B2"/>
  <w15:docId w15:val="{E9570047-BEF9-4F55-A454-D2330AA4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E1"/>
    <w:pPr>
      <w:spacing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8B3198"/>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18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A5"/>
    <w:pPr>
      <w:tabs>
        <w:tab w:val="center" w:pos="4153"/>
        <w:tab w:val="right" w:pos="8306"/>
      </w:tabs>
    </w:pPr>
  </w:style>
  <w:style w:type="character" w:customStyle="1" w:styleId="HeaderChar">
    <w:name w:val="Header Char"/>
    <w:basedOn w:val="DefaultParagraphFont"/>
    <w:link w:val="Header"/>
    <w:uiPriority w:val="99"/>
    <w:rsid w:val="004C4EA5"/>
    <w:rPr>
      <w:rFonts w:ascii="Times New Roman" w:hAnsi="Times New Roman"/>
      <w:sz w:val="28"/>
    </w:rPr>
  </w:style>
  <w:style w:type="paragraph" w:styleId="Footer">
    <w:name w:val="footer"/>
    <w:basedOn w:val="Normal"/>
    <w:link w:val="FooterChar"/>
    <w:uiPriority w:val="99"/>
    <w:unhideWhenUsed/>
    <w:rsid w:val="004C4EA5"/>
    <w:pPr>
      <w:tabs>
        <w:tab w:val="center" w:pos="4153"/>
        <w:tab w:val="right" w:pos="8306"/>
      </w:tabs>
    </w:pPr>
  </w:style>
  <w:style w:type="character" w:customStyle="1" w:styleId="FooterChar">
    <w:name w:val="Footer Char"/>
    <w:basedOn w:val="DefaultParagraphFont"/>
    <w:link w:val="Footer"/>
    <w:uiPriority w:val="99"/>
    <w:rsid w:val="004C4EA5"/>
    <w:rPr>
      <w:rFonts w:ascii="Times New Roman" w:hAnsi="Times New Roman"/>
      <w:sz w:val="28"/>
    </w:rPr>
  </w:style>
  <w:style w:type="character" w:styleId="Hyperlink">
    <w:name w:val="Hyperlink"/>
    <w:basedOn w:val="DefaultParagraphFont"/>
    <w:uiPriority w:val="99"/>
    <w:unhideWhenUsed/>
    <w:rsid w:val="00F81683"/>
    <w:rPr>
      <w:color w:val="0563C1" w:themeColor="hyperlink"/>
      <w:u w:val="single"/>
    </w:rPr>
  </w:style>
  <w:style w:type="character" w:styleId="FollowedHyperlink">
    <w:name w:val="FollowedHyperlink"/>
    <w:basedOn w:val="DefaultParagraphFont"/>
    <w:uiPriority w:val="99"/>
    <w:semiHidden/>
    <w:unhideWhenUsed/>
    <w:rsid w:val="00F81683"/>
    <w:rPr>
      <w:color w:val="954F72" w:themeColor="followedHyperlink"/>
      <w:u w:val="single"/>
    </w:rPr>
  </w:style>
  <w:style w:type="paragraph" w:styleId="BalloonText">
    <w:name w:val="Balloon Text"/>
    <w:basedOn w:val="Normal"/>
    <w:link w:val="BalloonTextChar"/>
    <w:uiPriority w:val="99"/>
    <w:semiHidden/>
    <w:unhideWhenUsed/>
    <w:rsid w:val="00511E60"/>
    <w:rPr>
      <w:rFonts w:ascii="Tahoma" w:hAnsi="Tahoma" w:cs="Tahoma"/>
      <w:sz w:val="16"/>
      <w:szCs w:val="16"/>
    </w:rPr>
  </w:style>
  <w:style w:type="character" w:customStyle="1" w:styleId="BalloonTextChar">
    <w:name w:val="Balloon Text Char"/>
    <w:basedOn w:val="DefaultParagraphFont"/>
    <w:link w:val="BalloonText"/>
    <w:uiPriority w:val="99"/>
    <w:semiHidden/>
    <w:rsid w:val="00511E60"/>
    <w:rPr>
      <w:rFonts w:ascii="Tahoma" w:hAnsi="Tahoma" w:cs="Tahoma"/>
      <w:sz w:val="16"/>
      <w:szCs w:val="16"/>
    </w:rPr>
  </w:style>
  <w:style w:type="character" w:customStyle="1" w:styleId="Heading1Char">
    <w:name w:val="Heading 1 Char"/>
    <w:basedOn w:val="DefaultParagraphFont"/>
    <w:link w:val="Heading1"/>
    <w:uiPriority w:val="9"/>
    <w:rsid w:val="008B31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18B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3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73674">
      <w:bodyDiv w:val="1"/>
      <w:marLeft w:val="0"/>
      <w:marRight w:val="0"/>
      <w:marTop w:val="0"/>
      <w:marBottom w:val="0"/>
      <w:divBdr>
        <w:top w:val="none" w:sz="0" w:space="0" w:color="auto"/>
        <w:left w:val="none" w:sz="0" w:space="0" w:color="auto"/>
        <w:bottom w:val="none" w:sz="0" w:space="0" w:color="auto"/>
        <w:right w:val="none" w:sz="0" w:space="0" w:color="auto"/>
      </w:divBdr>
    </w:div>
    <w:div w:id="840893040">
      <w:bodyDiv w:val="1"/>
      <w:marLeft w:val="0"/>
      <w:marRight w:val="0"/>
      <w:marTop w:val="0"/>
      <w:marBottom w:val="0"/>
      <w:divBdr>
        <w:top w:val="none" w:sz="0" w:space="0" w:color="auto"/>
        <w:left w:val="none" w:sz="0" w:space="0" w:color="auto"/>
        <w:bottom w:val="none" w:sz="0" w:space="0" w:color="auto"/>
        <w:right w:val="none" w:sz="0" w:space="0" w:color="auto"/>
      </w:divBdr>
    </w:div>
    <w:div w:id="9018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2232</Words>
  <Characters>1273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dc:creator>
  <cp:lastModifiedBy>Ivars Vilks</cp:lastModifiedBy>
  <cp:revision>2</cp:revision>
  <dcterms:created xsi:type="dcterms:W3CDTF">2020-03-11T10:26:00Z</dcterms:created>
  <dcterms:modified xsi:type="dcterms:W3CDTF">2020-03-11T10:26:00Z</dcterms:modified>
</cp:coreProperties>
</file>