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526" w:rsidRDefault="00497057" w:rsidP="002255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Komisijas atbildes un skaidrojumi</w:t>
      </w:r>
    </w:p>
    <w:p w:rsidR="00225526" w:rsidRDefault="00225526" w:rsidP="00225526">
      <w:pPr>
        <w:jc w:val="center"/>
        <w:rPr>
          <w:i/>
          <w:sz w:val="28"/>
          <w:szCs w:val="28"/>
        </w:rPr>
      </w:pPr>
    </w:p>
    <w:p w:rsidR="00225526" w:rsidRDefault="00225526" w:rsidP="00225526">
      <w:pPr>
        <w:spacing w:before="120"/>
        <w:ind w:left="284" w:hanging="284"/>
        <w:jc w:val="both"/>
        <w:rPr>
          <w:color w:val="365F91" w:themeColor="accent1" w:themeShade="BF"/>
          <w:sz w:val="20"/>
          <w:szCs w:val="20"/>
        </w:rPr>
      </w:pPr>
      <w:r>
        <w:rPr>
          <w:color w:val="365F91" w:themeColor="accent1" w:themeShade="BF"/>
          <w:sz w:val="20"/>
          <w:szCs w:val="20"/>
        </w:rPr>
        <w:sym w:font="Webdings" w:char="F069"/>
      </w:r>
      <w:r>
        <w:rPr>
          <w:color w:val="365F91" w:themeColor="accent1" w:themeShade="BF"/>
          <w:sz w:val="20"/>
          <w:szCs w:val="20"/>
        </w:rPr>
        <w:t xml:space="preserve"> </w:t>
      </w:r>
      <w:r>
        <w:rPr>
          <w:color w:val="365F91" w:themeColor="accent1" w:themeShade="BF"/>
          <w:sz w:val="20"/>
          <w:szCs w:val="20"/>
        </w:rPr>
        <w:tab/>
        <w:t xml:space="preserve">Dokuments sagatavots ar izvēršamiem blokiem (bloki izvēršami vai savēršami spiežot uz </w:t>
      </w:r>
      <w:r>
        <w:rPr>
          <w:color w:val="365F91" w:themeColor="accent1" w:themeShade="BF"/>
          <w:sz w:val="18"/>
          <w:szCs w:val="18"/>
        </w:rPr>
        <w:sym w:font="Wingdings 3" w:char="F07D"/>
      </w:r>
      <w:r>
        <w:rPr>
          <w:color w:val="365F91" w:themeColor="accent1" w:themeShade="BF"/>
          <w:sz w:val="16"/>
          <w:szCs w:val="16"/>
        </w:rPr>
        <w:t xml:space="preserve"> </w:t>
      </w:r>
      <w:r>
        <w:rPr>
          <w:color w:val="365F91" w:themeColor="accent1" w:themeShade="BF"/>
          <w:sz w:val="20"/>
          <w:szCs w:val="20"/>
        </w:rPr>
        <w:t xml:space="preserve">simbola), funkcionalitāte pieejama </w:t>
      </w:r>
      <w:r>
        <w:rPr>
          <w:i/>
          <w:color w:val="365F91" w:themeColor="accent1" w:themeShade="BF"/>
          <w:sz w:val="20"/>
          <w:szCs w:val="20"/>
        </w:rPr>
        <w:t>MS Word 2013</w:t>
      </w:r>
      <w:r>
        <w:rPr>
          <w:color w:val="365F91" w:themeColor="accent1" w:themeShade="BF"/>
          <w:sz w:val="20"/>
          <w:szCs w:val="20"/>
        </w:rPr>
        <w:t xml:space="preserve"> vai vēlākam versijām (agrākām </w:t>
      </w:r>
      <w:r>
        <w:rPr>
          <w:i/>
          <w:color w:val="365F91" w:themeColor="accent1" w:themeShade="BF"/>
          <w:sz w:val="20"/>
          <w:szCs w:val="20"/>
        </w:rPr>
        <w:t xml:space="preserve">MS Word </w:t>
      </w:r>
      <w:r>
        <w:rPr>
          <w:color w:val="365F91" w:themeColor="accent1" w:themeShade="BF"/>
          <w:sz w:val="20"/>
          <w:szCs w:val="20"/>
        </w:rPr>
        <w:t>versijām bloki vienmēr ir izvērsti un nav savēršami).</w:t>
      </w:r>
    </w:p>
    <w:p w:rsidR="00225526" w:rsidRDefault="00497057" w:rsidP="00705365">
      <w:pPr>
        <w:pStyle w:val="Heading1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Komisijas atbildes un skaidrojumu publicēšana</w:t>
      </w:r>
    </w:p>
    <w:p w:rsidR="00497057" w:rsidRPr="00705365" w:rsidRDefault="00705365" w:rsidP="00705365">
      <w:pPr>
        <w:pStyle w:val="Heading2"/>
        <w:numPr>
          <w:ilvl w:val="1"/>
          <w:numId w:val="1"/>
        </w:numPr>
        <w:spacing w:before="60"/>
        <w:ind w:left="992" w:hanging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Lai pievienot komisijas atbildi vai skaidrojumu š</w:t>
      </w:r>
      <w:r w:rsidR="00DA059A" w:rsidRPr="0070536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ķirkļa “Dokumenti” izvēršamajā blokā “Komisijas atbildes </w:t>
      </w:r>
      <w:r w:rsidR="00BA7284" w:rsidRPr="0070536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un skaidrojumi”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nepieciešams izvēlēties simbolu</w:t>
      </w:r>
      <w:r w:rsidR="00BA7284" w:rsidRPr="0070536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“Pievienot”.</w:t>
      </w:r>
    </w:p>
    <w:p w:rsidR="00BA7284" w:rsidRPr="00497057" w:rsidRDefault="00BA7284" w:rsidP="00705365">
      <w:pPr>
        <w:ind w:left="426"/>
      </w:pPr>
      <w:r>
        <w:rPr>
          <w:noProof/>
          <w:lang w:eastAsia="lv-LV"/>
        </w:rPr>
        <w:drawing>
          <wp:inline distT="0" distB="0" distL="0" distR="0" wp14:anchorId="645BF4CC" wp14:editId="36CB2D3F">
            <wp:extent cx="6038850" cy="7299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654" cy="74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976" w:rsidRDefault="00034976"/>
    <w:p w:rsidR="00BA7284" w:rsidRPr="00A35C33" w:rsidRDefault="00BA7284" w:rsidP="00A35C33">
      <w:pPr>
        <w:pStyle w:val="Heading2"/>
        <w:numPr>
          <w:ilvl w:val="1"/>
          <w:numId w:val="1"/>
        </w:numPr>
        <w:spacing w:before="60"/>
        <w:ind w:left="992" w:hanging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35C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Uznirstošā log</w:t>
      </w:r>
      <w:r w:rsidR="00BA3147" w:rsidRPr="00A35C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</w:t>
      </w:r>
      <w:r w:rsidRPr="00A35C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“Komisijas atbildes un skaidrojumi” </w:t>
      </w:r>
      <w:r w:rsidR="00BA3147" w:rsidRPr="00A35C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izvēršamajā blokā “Atbildes priekšmets – iepirkuma procedūra” </w:t>
      </w:r>
      <w:r w:rsidRPr="00A35C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var norādīt posmu, par kuru tiek </w:t>
      </w:r>
      <w:r w:rsidR="00BA3147" w:rsidRPr="00A35C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sniegta atbilde.</w:t>
      </w:r>
    </w:p>
    <w:p w:rsidR="00BA3147" w:rsidRDefault="00BA3147" w:rsidP="00A35C33">
      <w:pPr>
        <w:ind w:firstLine="426"/>
      </w:pPr>
      <w:r>
        <w:rPr>
          <w:noProof/>
          <w:lang w:eastAsia="lv-LV"/>
        </w:rPr>
        <w:drawing>
          <wp:inline distT="0" distB="0" distL="0" distR="0" wp14:anchorId="2B939C62" wp14:editId="58E334EA">
            <wp:extent cx="6038850" cy="6057035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128" cy="606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147" w:rsidRDefault="00BA3147"/>
    <w:p w:rsidR="00BA3147" w:rsidRPr="00A35C33" w:rsidRDefault="00BA3147" w:rsidP="00A35C33">
      <w:pPr>
        <w:pStyle w:val="Heading2"/>
        <w:numPr>
          <w:ilvl w:val="1"/>
          <w:numId w:val="1"/>
        </w:numPr>
        <w:spacing w:before="60"/>
        <w:ind w:left="992" w:hanging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35C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Uznirstošā loga “Komisijas atbildes un skaidrojumi” izvēršamajā blokā “</w:t>
      </w:r>
      <w:r w:rsidR="007A1A09" w:rsidRPr="00A35C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Dokuments</w:t>
      </w:r>
      <w:r w:rsidRPr="00A35C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” </w:t>
      </w:r>
      <w:r w:rsidR="00BC4F8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norāda</w:t>
      </w:r>
      <w:r w:rsidR="007A1A09" w:rsidRPr="00A35C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2B7AB1" w:rsidRPr="00A35C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dokumenta </w:t>
      </w:r>
      <w:r w:rsidR="007A1A09" w:rsidRPr="00A35C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nosaukumu un citu nepieciešamo informāciju.</w:t>
      </w:r>
    </w:p>
    <w:p w:rsidR="007A1A09" w:rsidRDefault="007A1A09" w:rsidP="00A35C33">
      <w:pPr>
        <w:ind w:left="426"/>
      </w:pPr>
      <w:r>
        <w:rPr>
          <w:noProof/>
          <w:lang w:eastAsia="lv-LV"/>
        </w:rPr>
        <w:drawing>
          <wp:inline distT="0" distB="0" distL="0" distR="0" wp14:anchorId="1F71E2A1" wp14:editId="6F100A5C">
            <wp:extent cx="6038850" cy="4872833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657" cy="489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A09" w:rsidRDefault="007A1A09"/>
    <w:p w:rsidR="007A1A09" w:rsidRPr="00A35C33" w:rsidRDefault="007A1A09" w:rsidP="00A35C33">
      <w:pPr>
        <w:pStyle w:val="Heading2"/>
        <w:numPr>
          <w:ilvl w:val="1"/>
          <w:numId w:val="1"/>
        </w:numPr>
        <w:spacing w:before="60"/>
        <w:ind w:left="992" w:hanging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35C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Uznirstošā loga “Komisijas atbildes un skaidrojumi” izvēršamajā blokā “</w:t>
      </w:r>
      <w:r w:rsidR="00CE4C2F" w:rsidRPr="00A35C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Datnes</w:t>
      </w:r>
      <w:r w:rsidRPr="00A35C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” </w:t>
      </w:r>
      <w:r w:rsidR="00CE4C2F" w:rsidRPr="00A35C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pievieno datni.</w:t>
      </w:r>
    </w:p>
    <w:p w:rsidR="00CE4C2F" w:rsidRDefault="00CE4C2F" w:rsidP="00A35C33">
      <w:pPr>
        <w:ind w:firstLine="426"/>
      </w:pPr>
      <w:r>
        <w:rPr>
          <w:noProof/>
          <w:lang w:eastAsia="lv-LV"/>
        </w:rPr>
        <w:drawing>
          <wp:inline distT="0" distB="0" distL="0" distR="0" wp14:anchorId="556A5D63" wp14:editId="6C8D8371">
            <wp:extent cx="6048375" cy="617586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668" cy="618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C2F" w:rsidRDefault="00CE4C2F"/>
    <w:p w:rsidR="004060ED" w:rsidRDefault="004060ED" w:rsidP="00BC4F87">
      <w:pPr>
        <w:pStyle w:val="Heading2"/>
        <w:numPr>
          <w:ilvl w:val="1"/>
          <w:numId w:val="1"/>
        </w:numPr>
        <w:spacing w:before="60"/>
        <w:ind w:left="992" w:hanging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060E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 xml:space="preserve">Ja ir saņemts vai pievienots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pretendentu jautājums</w:t>
      </w:r>
      <w:r w:rsidRPr="004060E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tad, </w:t>
      </w:r>
      <w:r w:rsidRPr="00BC4F8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izvēršamajā blokā “Atbilde uz jautājumiem (neatbildētajiem)”</w:t>
      </w:r>
      <w:r w:rsidRPr="004060E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ir iespējams atzīmēt iepirkuma komisijas atbildes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vai skaidrojuma </w:t>
      </w:r>
      <w:r w:rsidRPr="004060E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sasaisti ar konkrētu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jautājumu</w:t>
      </w:r>
      <w:r w:rsidR="00B87FC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N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epieciešamības gadījumā</w:t>
      </w:r>
      <w:r w:rsidR="00B87FC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ir iespējams</w:t>
      </w:r>
      <w:r w:rsidR="00B87FC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atzīmēt sasaisti </w:t>
      </w:r>
      <w:r w:rsidR="0073589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ar vairākiem jautājumiem</w:t>
      </w:r>
      <w:r w:rsidRPr="004060E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BA5E68" w:rsidRDefault="00BA5E68" w:rsidP="00BC4F87">
      <w:pPr>
        <w:pStyle w:val="ListParagraph"/>
        <w:ind w:left="426"/>
      </w:pPr>
      <w:r>
        <w:rPr>
          <w:noProof/>
          <w:lang w:eastAsia="lv-LV"/>
        </w:rPr>
        <w:drawing>
          <wp:inline distT="0" distB="0" distL="0" distR="0" wp14:anchorId="0BF87626" wp14:editId="55D93917">
            <wp:extent cx="6067425" cy="455751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750" cy="457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C2F" w:rsidRDefault="00CE4C2F"/>
    <w:p w:rsidR="00CE4C2F" w:rsidRPr="0073589F" w:rsidRDefault="00CE4C2F" w:rsidP="0073589F">
      <w:pPr>
        <w:pStyle w:val="Heading2"/>
        <w:numPr>
          <w:ilvl w:val="1"/>
          <w:numId w:val="1"/>
        </w:numPr>
        <w:spacing w:before="60"/>
        <w:ind w:left="992" w:hanging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73589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 xml:space="preserve">Lai publicētu atbildi vai skaidrojumu, uznirstošā loga “Komisijas atbildes un skaidrojumi” </w:t>
      </w:r>
      <w:r w:rsidR="0073589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nepieciešams izvēlēties darbību</w:t>
      </w:r>
      <w:r w:rsidRPr="0073589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“Saglabāt un publicēt”.</w:t>
      </w:r>
    </w:p>
    <w:p w:rsidR="00CE4C2F" w:rsidRDefault="00CE4C2F" w:rsidP="0073589F">
      <w:pPr>
        <w:ind w:left="426"/>
      </w:pPr>
      <w:r>
        <w:rPr>
          <w:noProof/>
          <w:lang w:eastAsia="lv-LV"/>
        </w:rPr>
        <w:drawing>
          <wp:inline distT="0" distB="0" distL="0" distR="0" wp14:anchorId="0970046C" wp14:editId="29664747">
            <wp:extent cx="6029325" cy="436287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926" cy="4372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F41" w:rsidRDefault="00170F41"/>
    <w:p w:rsidR="00170F41" w:rsidRPr="0073589F" w:rsidRDefault="0073589F" w:rsidP="0073589F">
      <w:pPr>
        <w:pStyle w:val="Heading2"/>
        <w:numPr>
          <w:ilvl w:val="1"/>
          <w:numId w:val="1"/>
        </w:numPr>
        <w:spacing w:before="60"/>
        <w:ind w:left="992" w:hanging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Gadījumā, ja atbildes</w:t>
      </w:r>
      <w:r w:rsidR="00170F41" w:rsidRPr="0073589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vai skaidrojuma sasaiste ar jautājumu </w:t>
      </w:r>
      <w:r w:rsidR="00170F41" w:rsidRPr="0073589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nav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nepieciešama un līdz ar to nav izvēlēta</w:t>
      </w:r>
      <w:r w:rsidR="00170F41" w:rsidRPr="0073589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tiek attēlots sistēmas brīdinājums, kurā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ir iespējams izvēlēties darbību</w:t>
      </w:r>
      <w:r w:rsidR="00170F41" w:rsidRPr="0073589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“Turpināt”.</w:t>
      </w:r>
    </w:p>
    <w:p w:rsidR="00170F41" w:rsidRDefault="00170F41" w:rsidP="0073589F">
      <w:pPr>
        <w:ind w:left="426"/>
      </w:pPr>
      <w:r>
        <w:rPr>
          <w:noProof/>
          <w:lang w:eastAsia="lv-LV"/>
        </w:rPr>
        <w:drawing>
          <wp:inline distT="0" distB="0" distL="0" distR="0" wp14:anchorId="53C9306E" wp14:editId="6853CA4B">
            <wp:extent cx="6017158" cy="1343025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997" cy="1345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E68" w:rsidRDefault="00BA5E68" w:rsidP="00170F41"/>
    <w:p w:rsidR="00BA5E68" w:rsidRPr="0073589F" w:rsidRDefault="00821844" w:rsidP="0073589F">
      <w:pPr>
        <w:pStyle w:val="Heading2"/>
        <w:numPr>
          <w:ilvl w:val="1"/>
          <w:numId w:val="1"/>
        </w:numPr>
        <w:spacing w:before="60"/>
        <w:ind w:left="992" w:hanging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73589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 xml:space="preserve">Lai publicētu atbildi vai skaidrojumu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u</w:t>
      </w:r>
      <w:r w:rsidR="00BA5E68" w:rsidRPr="0073589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znirstošajā logā “</w:t>
      </w:r>
      <w:r w:rsidR="002F7E48" w:rsidRPr="0073589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Sistēmas brīdinājums”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nepieciešams izvēlēties darbību</w:t>
      </w:r>
      <w:r w:rsidR="002F7E48" w:rsidRPr="0073589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“Turpināt”.</w:t>
      </w:r>
    </w:p>
    <w:p w:rsidR="002F7E48" w:rsidRDefault="002F7E48" w:rsidP="0073589F">
      <w:pPr>
        <w:ind w:left="426"/>
      </w:pPr>
      <w:r>
        <w:rPr>
          <w:noProof/>
          <w:lang w:eastAsia="lv-LV"/>
        </w:rPr>
        <w:drawing>
          <wp:inline distT="0" distB="0" distL="0" distR="0" wp14:anchorId="71849362" wp14:editId="06170546">
            <wp:extent cx="6016625" cy="1697294"/>
            <wp:effectExtent l="0" t="0" r="317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103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E48" w:rsidRDefault="002F7E48" w:rsidP="00BA5E68"/>
    <w:p w:rsidR="00BA5E68" w:rsidRPr="00821844" w:rsidRDefault="002F7E48" w:rsidP="00821844">
      <w:pPr>
        <w:pStyle w:val="Heading2"/>
        <w:numPr>
          <w:ilvl w:val="1"/>
          <w:numId w:val="1"/>
        </w:numPr>
        <w:spacing w:before="60"/>
        <w:ind w:left="992" w:hanging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8218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Šķirkļa “Dokumenti” izvēršamajā blokā “Komisijas atbil</w:t>
      </w:r>
      <w:r w:rsidR="008218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des un skaidrojumi” publicētajam</w:t>
      </w:r>
      <w:r w:rsidRPr="008218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8218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dokumentam</w:t>
      </w:r>
      <w:r w:rsidRPr="008218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2B7AB1" w:rsidRPr="008218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tiek piešķirts </w:t>
      </w:r>
      <w:r w:rsidRPr="008218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statuss “Reģistrēts”.</w:t>
      </w:r>
    </w:p>
    <w:p w:rsidR="002F7E48" w:rsidRDefault="002F7E48" w:rsidP="00821844">
      <w:pPr>
        <w:ind w:left="426"/>
      </w:pPr>
      <w:r>
        <w:rPr>
          <w:noProof/>
          <w:lang w:eastAsia="lv-LV"/>
        </w:rPr>
        <w:drawing>
          <wp:inline distT="0" distB="0" distL="0" distR="0" wp14:anchorId="3C320CD8" wp14:editId="6723A012">
            <wp:extent cx="6020855" cy="10096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293" cy="101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E48" w:rsidRDefault="002F7E48" w:rsidP="002F7E48">
      <w:pPr>
        <w:ind w:left="360"/>
      </w:pPr>
    </w:p>
    <w:p w:rsidR="00811672" w:rsidRPr="00821844" w:rsidRDefault="00811672" w:rsidP="00821844">
      <w:pPr>
        <w:pStyle w:val="Heading2"/>
        <w:numPr>
          <w:ilvl w:val="1"/>
          <w:numId w:val="1"/>
        </w:numPr>
        <w:spacing w:before="60"/>
        <w:ind w:left="992" w:hanging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8218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Reģistrē</w:t>
      </w:r>
      <w:r w:rsidR="002B7AB1" w:rsidRPr="008218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tie</w:t>
      </w:r>
      <w:r w:rsidRPr="008218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sistēmas lietotāji atbildi var apskatīt šķirkļa “Dokumenti” izvēršamajā blokā “Komisijas atbildes un skaidrojumi”.</w:t>
      </w:r>
    </w:p>
    <w:p w:rsidR="00811672" w:rsidRDefault="00811672" w:rsidP="00821844">
      <w:pPr>
        <w:ind w:left="426"/>
      </w:pPr>
      <w:r>
        <w:rPr>
          <w:noProof/>
          <w:lang w:eastAsia="lv-LV"/>
        </w:rPr>
        <w:drawing>
          <wp:inline distT="0" distB="0" distL="0" distR="0" wp14:anchorId="5CC0B811" wp14:editId="686242BC">
            <wp:extent cx="6059754" cy="12382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709" cy="1240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672" w:rsidRDefault="00811672" w:rsidP="002F7E48">
      <w:pPr>
        <w:ind w:left="360"/>
      </w:pPr>
    </w:p>
    <w:p w:rsidR="00811672" w:rsidRPr="00821844" w:rsidRDefault="00811672" w:rsidP="00821844">
      <w:pPr>
        <w:pStyle w:val="Heading2"/>
        <w:numPr>
          <w:ilvl w:val="1"/>
          <w:numId w:val="1"/>
        </w:numPr>
        <w:spacing w:before="60"/>
        <w:ind w:left="992" w:hanging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8218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Nereģistrētie sistēmas lietotāji atbildi var apskatīt izvēršamajā blokā “Dokumenti (aktuālie)”.</w:t>
      </w:r>
    </w:p>
    <w:p w:rsidR="00811672" w:rsidRDefault="00811672" w:rsidP="00821844">
      <w:pPr>
        <w:ind w:left="426"/>
      </w:pPr>
      <w:r>
        <w:rPr>
          <w:noProof/>
          <w:lang w:eastAsia="lv-LV"/>
        </w:rPr>
        <w:drawing>
          <wp:inline distT="0" distB="0" distL="0" distR="0" wp14:anchorId="1CA708FB" wp14:editId="4F104120">
            <wp:extent cx="6030795" cy="1247775"/>
            <wp:effectExtent l="0" t="0" r="825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119" cy="1251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E48" w:rsidRDefault="002F7E48" w:rsidP="002F7E48">
      <w:pPr>
        <w:ind w:left="360"/>
      </w:pPr>
    </w:p>
    <w:p w:rsidR="002F7E48" w:rsidRDefault="002B7AB1" w:rsidP="00821844">
      <w:pPr>
        <w:pStyle w:val="Heading1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Publicēto k</w:t>
      </w:r>
      <w:r w:rsidR="002F7E48">
        <w:rPr>
          <w:rFonts w:ascii="Times New Roman" w:hAnsi="Times New Roman" w:cs="Times New Roman"/>
          <w:b/>
          <w:sz w:val="24"/>
          <w:szCs w:val="24"/>
        </w:rPr>
        <w:t>omisijas atbil</w:t>
      </w:r>
      <w:r w:rsidR="00F074A0">
        <w:rPr>
          <w:rFonts w:ascii="Times New Roman" w:hAnsi="Times New Roman" w:cs="Times New Roman"/>
          <w:b/>
          <w:sz w:val="24"/>
          <w:szCs w:val="24"/>
        </w:rPr>
        <w:t>žu</w:t>
      </w:r>
      <w:r w:rsidR="002F7E48">
        <w:rPr>
          <w:rFonts w:ascii="Times New Roman" w:hAnsi="Times New Roman" w:cs="Times New Roman"/>
          <w:b/>
          <w:sz w:val="24"/>
          <w:szCs w:val="24"/>
        </w:rPr>
        <w:t xml:space="preserve"> un skaidrojumu atsaukšana</w:t>
      </w:r>
    </w:p>
    <w:p w:rsidR="002F7E48" w:rsidRDefault="002F7E48" w:rsidP="002F7E48"/>
    <w:p w:rsidR="002F7E48" w:rsidRPr="00821844" w:rsidRDefault="002F7E48" w:rsidP="00821844">
      <w:pPr>
        <w:pStyle w:val="Heading2"/>
        <w:numPr>
          <w:ilvl w:val="1"/>
          <w:numId w:val="1"/>
        </w:numPr>
        <w:spacing w:before="60"/>
        <w:ind w:left="992" w:hanging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8218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 xml:space="preserve">Lai </w:t>
      </w:r>
      <w:r w:rsidR="00EB4025" w:rsidRPr="008218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atsauktu </w:t>
      </w:r>
      <w:r w:rsidRPr="008218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publicēt</w:t>
      </w:r>
      <w:r w:rsidR="00EB4025" w:rsidRPr="008218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</w:t>
      </w:r>
      <w:r w:rsidRPr="008218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8218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dokumentu</w:t>
      </w:r>
      <w:r w:rsidRPr="008218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EB4025" w:rsidRPr="008218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(</w:t>
      </w:r>
      <w:r w:rsidRPr="008218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padarītu </w:t>
      </w:r>
      <w:r w:rsidR="00EB4025" w:rsidRPr="008218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to </w:t>
      </w:r>
      <w:r w:rsidRPr="008218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publiski neapskatāmu), šķirkļa “Dokumenti” izvēršamajā blokā “Komisijas atbildes un skaidrojumi” </w:t>
      </w:r>
      <w:r w:rsidR="00AB3C3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attiecīgajam dokumentam j</w:t>
      </w:r>
      <w:r w:rsidR="00312C1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āizvēlas simbols</w:t>
      </w:r>
      <w:r w:rsidR="00821844" w:rsidRPr="008218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„Atvērt ierakstu”</w:t>
      </w:r>
      <w:r w:rsidRPr="008218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2F7E48" w:rsidRDefault="002F7E48" w:rsidP="00821844">
      <w:pPr>
        <w:ind w:left="426"/>
      </w:pPr>
      <w:r>
        <w:rPr>
          <w:noProof/>
          <w:lang w:eastAsia="lv-LV"/>
        </w:rPr>
        <w:drawing>
          <wp:inline distT="0" distB="0" distL="0" distR="0" wp14:anchorId="3D9F4E74" wp14:editId="23918C36">
            <wp:extent cx="6020855" cy="10096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768" cy="10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E48" w:rsidRDefault="002F7E48" w:rsidP="002F7E48">
      <w:pPr>
        <w:ind w:left="360"/>
      </w:pPr>
    </w:p>
    <w:p w:rsidR="002F7E48" w:rsidRPr="00821844" w:rsidRDefault="002F7E48" w:rsidP="00821844">
      <w:pPr>
        <w:pStyle w:val="Heading2"/>
        <w:numPr>
          <w:ilvl w:val="1"/>
          <w:numId w:val="1"/>
        </w:numPr>
        <w:spacing w:before="60"/>
        <w:ind w:left="992" w:hanging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8218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Uznirstošajā logā “Komisijas atbilde un skaidrojumi” </w:t>
      </w:r>
      <w:r w:rsidR="00312C1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nepieciešams izvēlēties darbību</w:t>
      </w:r>
      <w:r w:rsidRPr="008218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“Atsaukt publicēšanu”.</w:t>
      </w:r>
    </w:p>
    <w:p w:rsidR="002F7E48" w:rsidRDefault="002F7E48" w:rsidP="00821844">
      <w:pPr>
        <w:ind w:left="426"/>
      </w:pPr>
      <w:r>
        <w:rPr>
          <w:noProof/>
          <w:lang w:eastAsia="lv-LV"/>
        </w:rPr>
        <w:drawing>
          <wp:inline distT="0" distB="0" distL="0" distR="0" wp14:anchorId="21BCC5D1" wp14:editId="61FDA05E">
            <wp:extent cx="6020435" cy="4343858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972" cy="436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E48" w:rsidRDefault="002F7E48" w:rsidP="002F7E48">
      <w:pPr>
        <w:ind w:left="360"/>
      </w:pPr>
    </w:p>
    <w:p w:rsidR="002D7435" w:rsidRPr="00312C1A" w:rsidRDefault="00BB59BD" w:rsidP="00312C1A">
      <w:pPr>
        <w:pStyle w:val="Heading2"/>
        <w:numPr>
          <w:ilvl w:val="1"/>
          <w:numId w:val="1"/>
        </w:numPr>
        <w:spacing w:before="60"/>
        <w:ind w:left="992" w:hanging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12C1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 xml:space="preserve">Uznirstošajā logā “Publikācijas atsaukšana” </w:t>
      </w:r>
      <w:r w:rsidR="00312C1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nepieciešams izvēlēties atbilstošo </w:t>
      </w:r>
      <w:r w:rsidRPr="00312C1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publikācijas atsaukšanas iemeslu.</w:t>
      </w:r>
    </w:p>
    <w:p w:rsidR="00BB59BD" w:rsidRDefault="00BB59BD" w:rsidP="00312C1A">
      <w:pPr>
        <w:ind w:left="426"/>
      </w:pPr>
      <w:r>
        <w:rPr>
          <w:noProof/>
          <w:lang w:eastAsia="lv-LV"/>
        </w:rPr>
        <w:drawing>
          <wp:inline distT="0" distB="0" distL="0" distR="0" wp14:anchorId="59FE0DE3" wp14:editId="0267B235">
            <wp:extent cx="6017981" cy="1933575"/>
            <wp:effectExtent l="0" t="0" r="190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688" cy="193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9BD" w:rsidRDefault="00BB59BD" w:rsidP="00BB59BD">
      <w:pPr>
        <w:ind w:left="360"/>
      </w:pPr>
    </w:p>
    <w:p w:rsidR="00BB59BD" w:rsidRPr="00312C1A" w:rsidRDefault="001B4DB5" w:rsidP="00312C1A">
      <w:pPr>
        <w:pStyle w:val="Heading2"/>
        <w:numPr>
          <w:ilvl w:val="1"/>
          <w:numId w:val="1"/>
        </w:numPr>
        <w:spacing w:before="60"/>
        <w:ind w:left="992" w:hanging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B4DB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Nepieciešams norādīt </w:t>
      </w:r>
      <w:r w:rsidR="0089678B" w:rsidRPr="0089678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komentāru par publicēšanas atsaukšanas iemesliem un izvēl</w:t>
      </w:r>
      <w:r w:rsidR="002E37F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ēties</w:t>
      </w:r>
      <w:r w:rsidR="0089678B" w:rsidRPr="0089678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darbību “Atsaukt publicēšanu”.</w:t>
      </w:r>
    </w:p>
    <w:p w:rsidR="00BB59BD" w:rsidRDefault="00376261" w:rsidP="00312C1A">
      <w:pPr>
        <w:ind w:left="426"/>
      </w:pPr>
      <w:r>
        <w:rPr>
          <w:noProof/>
          <w:lang w:eastAsia="lv-LV"/>
        </w:rPr>
        <w:drawing>
          <wp:inline distT="0" distB="0" distL="0" distR="0" wp14:anchorId="5F2C4E94" wp14:editId="41CF6DDE">
            <wp:extent cx="6037787" cy="1866900"/>
            <wp:effectExtent l="0" t="0" r="127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102" cy="187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261" w:rsidRDefault="00376261" w:rsidP="00BB59BD">
      <w:pPr>
        <w:ind w:left="360"/>
      </w:pPr>
    </w:p>
    <w:p w:rsidR="00376261" w:rsidRPr="00623450" w:rsidRDefault="00623450" w:rsidP="00623450">
      <w:pPr>
        <w:pStyle w:val="Heading2"/>
        <w:numPr>
          <w:ilvl w:val="1"/>
          <w:numId w:val="1"/>
        </w:numPr>
        <w:spacing w:before="60"/>
        <w:ind w:left="992" w:hanging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2345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Uznirstošajā logā “Sistēmas brīdinājums” </w:t>
      </w:r>
      <w:r w:rsidR="00687CA9">
        <w:rPr>
          <w:rFonts w:ascii="Times New Roman" w:hAnsi="Times New Roman" w:cs="Times New Roman"/>
          <w:b w:val="0"/>
          <w:color w:val="auto"/>
          <w:sz w:val="24"/>
          <w:szCs w:val="24"/>
        </w:rPr>
        <w:t>izvēlas darbību</w:t>
      </w:r>
      <w:r w:rsidRPr="0062345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“Turpināt”.</w:t>
      </w:r>
    </w:p>
    <w:p w:rsidR="00376261" w:rsidRDefault="00376261" w:rsidP="00623450">
      <w:pPr>
        <w:ind w:left="426"/>
      </w:pPr>
      <w:r>
        <w:rPr>
          <w:noProof/>
          <w:lang w:eastAsia="lv-LV"/>
        </w:rPr>
        <w:drawing>
          <wp:inline distT="0" distB="0" distL="0" distR="0" wp14:anchorId="4DB6AFEB" wp14:editId="7487B524">
            <wp:extent cx="6086475" cy="1358497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305" cy="137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261" w:rsidRDefault="00376261" w:rsidP="00376261">
      <w:pPr>
        <w:ind w:left="360"/>
      </w:pPr>
    </w:p>
    <w:p w:rsidR="00251B90" w:rsidRDefault="00251B90" w:rsidP="00251B90">
      <w:pPr>
        <w:pStyle w:val="ListParagraph"/>
        <w:jc w:val="both"/>
      </w:pPr>
      <w:r>
        <w:rPr>
          <w:rFonts w:cs="Times New Roman"/>
          <w:szCs w:val="24"/>
        </w:rPr>
        <w:t>Pēc šīs darbības t</w:t>
      </w:r>
      <w:r w:rsidRPr="00545505">
        <w:rPr>
          <w:rFonts w:cs="Times New Roman"/>
          <w:szCs w:val="24"/>
        </w:rPr>
        <w:t>iek atvērts uznirstošais logs “</w:t>
      </w:r>
      <w:r>
        <w:t>Komisijas atbilde un skaidrojumi</w:t>
      </w:r>
      <w:r>
        <w:rPr>
          <w:rFonts w:cs="Times New Roman"/>
          <w:szCs w:val="24"/>
        </w:rPr>
        <w:t>”,</w:t>
      </w:r>
      <w:r w:rsidRPr="00251B90">
        <w:t xml:space="preserve"> </w:t>
      </w:r>
      <w:r>
        <w:t>kurā ir iespējams veikt nepieciešamās informācijas labošanu, t.sk. pievienot precizētu dokumentu.</w:t>
      </w:r>
    </w:p>
    <w:p w:rsidR="00251B90" w:rsidRDefault="00251B90" w:rsidP="00251B90">
      <w:pPr>
        <w:pStyle w:val="ListParagraph"/>
        <w:jc w:val="both"/>
      </w:pPr>
      <w:bookmarkStart w:id="0" w:name="_GoBack"/>
      <w:bookmarkEnd w:id="0"/>
    </w:p>
    <w:p w:rsidR="00251B90" w:rsidRPr="00251B90" w:rsidRDefault="00251B90" w:rsidP="00251B90">
      <w:pPr>
        <w:pStyle w:val="Heading2"/>
        <w:numPr>
          <w:ilvl w:val="1"/>
          <w:numId w:val="1"/>
        </w:numPr>
        <w:spacing w:before="60"/>
        <w:ind w:left="992" w:hanging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51B90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Ja atsauktais dokuments ir precizēts un nepieciešams to salabāt kā projektu, jāizvēlas darbība “Saglabāt melnrakstu”. Atzīme pie ievadlauka “Ir publicējams” nav jāveic.</w:t>
      </w:r>
    </w:p>
    <w:p w:rsidR="00F222D9" w:rsidRDefault="00F222D9" w:rsidP="00251B90">
      <w:pPr>
        <w:ind w:left="426"/>
      </w:pPr>
      <w:r w:rsidRPr="00251B90">
        <w:rPr>
          <w:noProof/>
          <w:lang w:eastAsia="lv-LV"/>
        </w:rPr>
        <w:drawing>
          <wp:inline distT="0" distB="0" distL="0" distR="0" wp14:anchorId="153D2010" wp14:editId="6503D48F">
            <wp:extent cx="6096000" cy="7759881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302" cy="77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2D9" w:rsidRDefault="00F222D9" w:rsidP="00F222D9">
      <w:pPr>
        <w:ind w:left="360"/>
      </w:pPr>
    </w:p>
    <w:p w:rsidR="002F70F7" w:rsidRPr="00251B90" w:rsidRDefault="00251B90" w:rsidP="0044051C">
      <w:pPr>
        <w:pStyle w:val="Heading2"/>
        <w:numPr>
          <w:ilvl w:val="1"/>
          <w:numId w:val="1"/>
        </w:numPr>
        <w:spacing w:before="60"/>
        <w:ind w:left="992" w:hanging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51B90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Šķirkļa “Dokumenti” izvēršamajā blokā “Komisijas atbildes un skaidrojumi” atsauktajam dokumentam statuss ir mainīts uz “Reģistrēts, nav publicēts”. </w:t>
      </w:r>
    </w:p>
    <w:p w:rsidR="002F70F7" w:rsidRDefault="002F70F7" w:rsidP="00251B90">
      <w:pPr>
        <w:ind w:left="426"/>
      </w:pPr>
      <w:r>
        <w:rPr>
          <w:noProof/>
          <w:lang w:eastAsia="lv-LV"/>
        </w:rPr>
        <w:drawing>
          <wp:inline distT="0" distB="0" distL="0" distR="0" wp14:anchorId="5EFE6E7A" wp14:editId="61E13A2D">
            <wp:extent cx="6049601" cy="1104900"/>
            <wp:effectExtent l="0" t="0" r="889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009" cy="1107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67E" w:rsidRDefault="0047667E" w:rsidP="002F70F7">
      <w:pPr>
        <w:ind w:left="360"/>
      </w:pPr>
    </w:p>
    <w:p w:rsidR="0047667E" w:rsidRPr="00251B90" w:rsidRDefault="0047667E" w:rsidP="00251B90">
      <w:pPr>
        <w:pStyle w:val="Heading2"/>
        <w:numPr>
          <w:ilvl w:val="1"/>
          <w:numId w:val="1"/>
        </w:numPr>
        <w:spacing w:before="60"/>
        <w:ind w:left="992" w:hanging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51B90">
        <w:rPr>
          <w:rFonts w:ascii="Times New Roman" w:hAnsi="Times New Roman" w:cs="Times New Roman"/>
          <w:b w:val="0"/>
          <w:color w:val="auto"/>
          <w:sz w:val="24"/>
          <w:szCs w:val="24"/>
        </w:rPr>
        <w:t>Informācija par atpublicēto dokumentu ir pieejama šķirkļa “Dokumenti” izvēršamajā blokā “Iepirkuma dokumentu arhīvs”</w:t>
      </w:r>
      <w:r w:rsidR="004B599A" w:rsidRPr="00251B90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47667E" w:rsidRDefault="0047667E" w:rsidP="00DF69B8">
      <w:pPr>
        <w:ind w:left="426"/>
      </w:pPr>
      <w:r>
        <w:rPr>
          <w:noProof/>
          <w:lang w:eastAsia="lv-LV"/>
        </w:rPr>
        <w:drawing>
          <wp:inline distT="0" distB="0" distL="0" distR="0" wp14:anchorId="1881B3DB" wp14:editId="42DD946D">
            <wp:extent cx="6063378" cy="9144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922" cy="91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0F7" w:rsidRDefault="002F70F7" w:rsidP="002F70F7">
      <w:pPr>
        <w:ind w:left="360"/>
      </w:pPr>
    </w:p>
    <w:p w:rsidR="0047667E" w:rsidRPr="00DF69B8" w:rsidRDefault="00DF69B8" w:rsidP="00DF69B8">
      <w:pPr>
        <w:pStyle w:val="Heading2"/>
        <w:numPr>
          <w:ilvl w:val="1"/>
          <w:numId w:val="1"/>
        </w:numPr>
        <w:spacing w:before="60"/>
        <w:ind w:left="992" w:hanging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Reģistrētie</w:t>
      </w:r>
      <w:r w:rsidR="0047667E" w:rsidRPr="00DF69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EB4025" w:rsidRPr="00DF69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piegādātāja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lietotāji informāciju</w:t>
      </w:r>
      <w:r w:rsidR="0047667E" w:rsidRPr="00DF69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par atsaukto </w:t>
      </w:r>
      <w:r w:rsidR="00EB4025" w:rsidRPr="00DF69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dokumentu </w:t>
      </w:r>
      <w:r w:rsidR="00811672" w:rsidRPr="00DF69B8">
        <w:rPr>
          <w:rFonts w:ascii="Times New Roman" w:hAnsi="Times New Roman" w:cs="Times New Roman"/>
          <w:b w:val="0"/>
          <w:color w:val="auto"/>
          <w:sz w:val="24"/>
          <w:szCs w:val="24"/>
        </w:rPr>
        <w:t>var apskatīt šķirkļa “Dokumenti” izvēršamajā blokā “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Iepirkuma dokumentu arhīvs</w:t>
      </w:r>
      <w:r w:rsidR="00811672" w:rsidRPr="00DF69B8">
        <w:rPr>
          <w:rFonts w:ascii="Times New Roman" w:hAnsi="Times New Roman" w:cs="Times New Roman"/>
          <w:b w:val="0"/>
          <w:color w:val="auto"/>
          <w:sz w:val="24"/>
          <w:szCs w:val="24"/>
        </w:rPr>
        <w:t>”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47667E" w:rsidRDefault="0047667E" w:rsidP="00DF69B8">
      <w:pPr>
        <w:ind w:left="426"/>
        <w:rPr>
          <w:szCs w:val="24"/>
        </w:rPr>
      </w:pPr>
      <w:r>
        <w:rPr>
          <w:noProof/>
          <w:szCs w:val="24"/>
          <w:lang w:eastAsia="lv-LV"/>
        </w:rPr>
        <w:drawing>
          <wp:inline distT="0" distB="0" distL="0" distR="0" wp14:anchorId="4993F875" wp14:editId="4CAF78B2">
            <wp:extent cx="6038153" cy="895350"/>
            <wp:effectExtent l="0" t="0" r="127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661" cy="898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9B8" w:rsidRPr="00DF69B8" w:rsidRDefault="00DF69B8" w:rsidP="00DF69B8">
      <w:pPr>
        <w:ind w:left="426"/>
        <w:rPr>
          <w:szCs w:val="24"/>
        </w:rPr>
      </w:pPr>
    </w:p>
    <w:p w:rsidR="0047667E" w:rsidRPr="00DF69B8" w:rsidRDefault="00DF69B8" w:rsidP="00DF69B8">
      <w:pPr>
        <w:pStyle w:val="Heading2"/>
        <w:numPr>
          <w:ilvl w:val="1"/>
          <w:numId w:val="1"/>
        </w:numPr>
        <w:spacing w:before="60"/>
        <w:ind w:left="992" w:hanging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Nereģistrētie lietotāji</w:t>
      </w:r>
      <w:r w:rsidR="0047667E" w:rsidRPr="00DF69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informāciju</w:t>
      </w:r>
      <w:r w:rsidRPr="00DF69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par atsaukto dokumentu var apskatīt </w:t>
      </w:r>
      <w:r w:rsidRPr="008218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izvēršamajā blokā “Dokumenti (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arhīvs</w:t>
      </w:r>
      <w:r w:rsidRPr="008218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)”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47667E" w:rsidRDefault="0047667E" w:rsidP="0047667E">
      <w:pPr>
        <w:ind w:left="426"/>
        <w:rPr>
          <w:szCs w:val="24"/>
        </w:rPr>
      </w:pPr>
      <w:r>
        <w:rPr>
          <w:noProof/>
          <w:szCs w:val="24"/>
          <w:lang w:eastAsia="lv-LV"/>
        </w:rPr>
        <w:drawing>
          <wp:inline distT="0" distB="0" distL="0" distR="0" wp14:anchorId="02B6167D" wp14:editId="1E897A60">
            <wp:extent cx="6068521" cy="933450"/>
            <wp:effectExtent l="0" t="0" r="889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564" cy="93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67E" w:rsidRDefault="0047667E" w:rsidP="002F70F7">
      <w:pPr>
        <w:ind w:left="360"/>
      </w:pPr>
    </w:p>
    <w:p w:rsidR="00F222D9" w:rsidRPr="00EE39B5" w:rsidRDefault="002F70F7" w:rsidP="00EE39B5">
      <w:pPr>
        <w:pStyle w:val="Heading2"/>
        <w:numPr>
          <w:ilvl w:val="1"/>
          <w:numId w:val="1"/>
        </w:numPr>
        <w:spacing w:before="60"/>
        <w:ind w:left="992" w:hanging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E39B5">
        <w:rPr>
          <w:rFonts w:ascii="Times New Roman" w:hAnsi="Times New Roman" w:cs="Times New Roman"/>
          <w:b w:val="0"/>
          <w:color w:val="auto"/>
          <w:sz w:val="24"/>
          <w:szCs w:val="24"/>
        </w:rPr>
        <w:t>Š</w:t>
      </w:r>
      <w:r w:rsidR="000D7419" w:rsidRPr="00EE39B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ķirkļa “Dokumenti” izvēršamajā blokā “Komisijas atbildes un skaidrojumi” </w:t>
      </w:r>
      <w:r w:rsidR="00EE39B5">
        <w:rPr>
          <w:rFonts w:ascii="Times New Roman" w:hAnsi="Times New Roman" w:cs="Times New Roman"/>
          <w:b w:val="0"/>
          <w:color w:val="auto"/>
          <w:sz w:val="24"/>
          <w:szCs w:val="24"/>
        </w:rPr>
        <w:t>atsaukto dokumentu</w:t>
      </w:r>
      <w:r w:rsidR="0047667E" w:rsidRPr="00EE39B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var atvērt, </w:t>
      </w:r>
      <w:r w:rsidR="00EE39B5">
        <w:rPr>
          <w:rFonts w:ascii="Times New Roman" w:hAnsi="Times New Roman" w:cs="Times New Roman"/>
          <w:b w:val="0"/>
          <w:color w:val="auto"/>
          <w:sz w:val="24"/>
          <w:szCs w:val="24"/>
        </w:rPr>
        <w:t>izvēloties simbolu</w:t>
      </w:r>
      <w:r w:rsidR="0047667E" w:rsidRPr="00EE39B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“Atvērt ierakstu”.</w:t>
      </w:r>
    </w:p>
    <w:p w:rsidR="002F70F7" w:rsidRDefault="002F70F7" w:rsidP="00EE39B5">
      <w:pPr>
        <w:ind w:left="426"/>
      </w:pPr>
      <w:r>
        <w:rPr>
          <w:noProof/>
          <w:lang w:eastAsia="lv-LV"/>
        </w:rPr>
        <w:drawing>
          <wp:inline distT="0" distB="0" distL="0" distR="0" wp14:anchorId="1B287ADD" wp14:editId="7AFE2D6C">
            <wp:extent cx="6045225" cy="11049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307" cy="110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0F7" w:rsidRDefault="002F70F7" w:rsidP="002F70F7">
      <w:pPr>
        <w:ind w:left="360"/>
      </w:pPr>
    </w:p>
    <w:p w:rsidR="002F70F7" w:rsidRPr="00EE39B5" w:rsidRDefault="0047667E" w:rsidP="00EE39B5">
      <w:pPr>
        <w:pStyle w:val="Heading2"/>
        <w:numPr>
          <w:ilvl w:val="1"/>
          <w:numId w:val="1"/>
        </w:numPr>
        <w:spacing w:before="60"/>
        <w:ind w:left="992" w:hanging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E39B5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Lai atkārtoti publicētu </w:t>
      </w:r>
      <w:r w:rsidR="0094403C" w:rsidRPr="00EE39B5">
        <w:rPr>
          <w:rFonts w:ascii="Times New Roman" w:hAnsi="Times New Roman" w:cs="Times New Roman"/>
          <w:b w:val="0"/>
          <w:color w:val="auto"/>
          <w:sz w:val="24"/>
          <w:szCs w:val="24"/>
        </w:rPr>
        <w:t>dokumentu</w:t>
      </w:r>
      <w:r w:rsidR="004B599A" w:rsidRPr="00EE39B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pēc labojumu veikšanas</w:t>
      </w:r>
      <w:r w:rsidR="0094403C" w:rsidRPr="00EE39B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EE39B5">
        <w:rPr>
          <w:rFonts w:ascii="Times New Roman" w:hAnsi="Times New Roman" w:cs="Times New Roman"/>
          <w:b w:val="0"/>
          <w:color w:val="auto"/>
          <w:sz w:val="24"/>
          <w:szCs w:val="24"/>
        </w:rPr>
        <w:t>nepieciešams veikt</w:t>
      </w:r>
      <w:r w:rsidR="0094403C" w:rsidRPr="00EE39B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atzīmi pie izvēlnes lauka “Ir publicējams” un </w:t>
      </w:r>
      <w:r w:rsidR="00EE39B5">
        <w:rPr>
          <w:rFonts w:ascii="Times New Roman" w:hAnsi="Times New Roman" w:cs="Times New Roman"/>
          <w:b w:val="0"/>
          <w:color w:val="auto"/>
          <w:sz w:val="24"/>
          <w:szCs w:val="24"/>
        </w:rPr>
        <w:t>izvēlēties darbību</w:t>
      </w:r>
      <w:r w:rsidR="0094403C" w:rsidRPr="00EE39B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“Saglabāt un publicēt”.</w:t>
      </w:r>
      <w:r w:rsidR="004B599A" w:rsidRPr="00EE39B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94403C" w:rsidRDefault="0094403C" w:rsidP="00EE39B5">
      <w:pPr>
        <w:ind w:left="426"/>
      </w:pPr>
      <w:r>
        <w:rPr>
          <w:noProof/>
          <w:lang w:eastAsia="lv-LV"/>
        </w:rPr>
        <w:drawing>
          <wp:inline distT="0" distB="0" distL="0" distR="0" wp14:anchorId="042190D5" wp14:editId="16BDF3F4">
            <wp:extent cx="6019800" cy="6454443"/>
            <wp:effectExtent l="0" t="0" r="0" b="381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316" cy="647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403C" w:rsidSect="00705365">
      <w:footerReference w:type="default" r:id="rId30"/>
      <w:pgSz w:w="11906" w:h="16838"/>
      <w:pgMar w:top="1440" w:right="1133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215" w:rsidRDefault="00B65215" w:rsidP="002F7E48">
      <w:r>
        <w:separator/>
      </w:r>
    </w:p>
  </w:endnote>
  <w:endnote w:type="continuationSeparator" w:id="0">
    <w:p w:rsidR="00B65215" w:rsidRDefault="00B65215" w:rsidP="002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44745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7E48" w:rsidRDefault="002F7E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7F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F7E48" w:rsidRDefault="002F7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215" w:rsidRDefault="00B65215" w:rsidP="002F7E48">
      <w:r>
        <w:separator/>
      </w:r>
    </w:p>
  </w:footnote>
  <w:footnote w:type="continuationSeparator" w:id="0">
    <w:p w:rsidR="00B65215" w:rsidRDefault="00B65215" w:rsidP="002F7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33450"/>
    <w:multiLevelType w:val="hybridMultilevel"/>
    <w:tmpl w:val="5CD024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12B51"/>
    <w:multiLevelType w:val="multilevel"/>
    <w:tmpl w:val="A53EE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8EA6A63"/>
    <w:multiLevelType w:val="multilevel"/>
    <w:tmpl w:val="2A9C282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26"/>
    <w:rsid w:val="00034976"/>
    <w:rsid w:val="000D7419"/>
    <w:rsid w:val="00170F41"/>
    <w:rsid w:val="001B4DB5"/>
    <w:rsid w:val="001D5637"/>
    <w:rsid w:val="00225526"/>
    <w:rsid w:val="00251B90"/>
    <w:rsid w:val="002B7AB1"/>
    <w:rsid w:val="002D7435"/>
    <w:rsid w:val="002E37F0"/>
    <w:rsid w:val="002F70F7"/>
    <w:rsid w:val="002F7E48"/>
    <w:rsid w:val="00312C1A"/>
    <w:rsid w:val="00376261"/>
    <w:rsid w:val="003943A2"/>
    <w:rsid w:val="003A3715"/>
    <w:rsid w:val="004060ED"/>
    <w:rsid w:val="0047667E"/>
    <w:rsid w:val="00497057"/>
    <w:rsid w:val="004B599A"/>
    <w:rsid w:val="005009EC"/>
    <w:rsid w:val="00623450"/>
    <w:rsid w:val="00680ABF"/>
    <w:rsid w:val="00687CA9"/>
    <w:rsid w:val="006D5D36"/>
    <w:rsid w:val="00705365"/>
    <w:rsid w:val="0073589F"/>
    <w:rsid w:val="007A1A09"/>
    <w:rsid w:val="00811672"/>
    <w:rsid w:val="00821844"/>
    <w:rsid w:val="0089678B"/>
    <w:rsid w:val="0094403C"/>
    <w:rsid w:val="00A35C33"/>
    <w:rsid w:val="00AB3C3F"/>
    <w:rsid w:val="00B65215"/>
    <w:rsid w:val="00B87FCB"/>
    <w:rsid w:val="00BA3147"/>
    <w:rsid w:val="00BA5E68"/>
    <w:rsid w:val="00BA7284"/>
    <w:rsid w:val="00BB59BD"/>
    <w:rsid w:val="00BC4F87"/>
    <w:rsid w:val="00C52D9E"/>
    <w:rsid w:val="00CE4C2F"/>
    <w:rsid w:val="00DA059A"/>
    <w:rsid w:val="00DF69B8"/>
    <w:rsid w:val="00E8102B"/>
    <w:rsid w:val="00EA48BB"/>
    <w:rsid w:val="00EB4025"/>
    <w:rsid w:val="00EE39B5"/>
    <w:rsid w:val="00F074A0"/>
    <w:rsid w:val="00F2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7DCC"/>
  <w15:docId w15:val="{5C41D8CC-6DAB-4529-B12B-C8294C2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99A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5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6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5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2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2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4C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E4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E4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F7E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E48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766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B4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0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02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02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4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2496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VRAA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Ivars Vilks</dc:creator>
  <cp:lastModifiedBy>Nadežda Pūtele</cp:lastModifiedBy>
  <cp:revision>8</cp:revision>
  <dcterms:created xsi:type="dcterms:W3CDTF">2018-10-10T11:06:00Z</dcterms:created>
  <dcterms:modified xsi:type="dcterms:W3CDTF">2018-10-10T13:31:00Z</dcterms:modified>
</cp:coreProperties>
</file>