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DB6B9" w14:textId="1668E077" w:rsidR="00526576" w:rsidRPr="00F11BF7" w:rsidRDefault="00526576" w:rsidP="00526576">
      <w:pPr>
        <w:jc w:val="right"/>
      </w:pPr>
      <w:bookmarkStart w:id="0" w:name="_Hlk82700160"/>
      <w:r w:rsidRPr="00F11BF7">
        <w:t xml:space="preserve">Uz </w:t>
      </w:r>
      <w:r w:rsidR="00F11BF7" w:rsidRPr="00F11BF7">
        <w:t>13.11.2021.</w:t>
      </w:r>
    </w:p>
    <w:p w14:paraId="479F27D8" w14:textId="77777777" w:rsidR="00526576" w:rsidRDefault="00526576"/>
    <w:p w14:paraId="432C6985" w14:textId="08D371B4" w:rsidR="00F649FF" w:rsidRPr="00526576" w:rsidRDefault="00526576" w:rsidP="00526576">
      <w:pPr>
        <w:jc w:val="center"/>
        <w:rPr>
          <w:b/>
          <w:bCs/>
          <w:sz w:val="28"/>
          <w:szCs w:val="28"/>
        </w:rPr>
      </w:pPr>
      <w:r w:rsidRPr="00526576">
        <w:rPr>
          <w:b/>
          <w:bCs/>
          <w:sz w:val="28"/>
          <w:szCs w:val="28"/>
        </w:rPr>
        <w:t>Metu konkursa nodrošināšana (Pasūtītājiem)</w:t>
      </w:r>
    </w:p>
    <w:bookmarkEnd w:id="0"/>
    <w:p w14:paraId="671ED2F2" w14:textId="248F70D2" w:rsidR="00526576" w:rsidRDefault="00526576"/>
    <w:p w14:paraId="21C55C2E" w14:textId="0B119BE1" w:rsidR="00526576" w:rsidRDefault="004C0190" w:rsidP="009461E4">
      <w:pPr>
        <w:pStyle w:val="Sarakstarindkopa"/>
        <w:numPr>
          <w:ilvl w:val="0"/>
          <w:numId w:val="1"/>
        </w:numPr>
        <w:jc w:val="center"/>
        <w:rPr>
          <w:b/>
          <w:szCs w:val="24"/>
        </w:rPr>
      </w:pPr>
      <w:r>
        <w:rPr>
          <w:b/>
          <w:szCs w:val="24"/>
        </w:rPr>
        <w:t>Metu konkursu</w:t>
      </w:r>
      <w:r w:rsidR="00526576" w:rsidRPr="00C27BCB">
        <w:rPr>
          <w:b/>
          <w:szCs w:val="24"/>
        </w:rPr>
        <w:t xml:space="preserve"> </w:t>
      </w:r>
      <w:r w:rsidR="003544A4">
        <w:rPr>
          <w:b/>
          <w:szCs w:val="24"/>
        </w:rPr>
        <w:t>izsludināšana</w:t>
      </w:r>
    </w:p>
    <w:p w14:paraId="27A439E3" w14:textId="0A169EDB" w:rsidR="009461E4" w:rsidRPr="009461E4" w:rsidRDefault="009461E4" w:rsidP="009461E4">
      <w:pPr>
        <w:pStyle w:val="Sarakstarindkopa"/>
        <w:ind w:left="1080"/>
        <w:jc w:val="center"/>
        <w:rPr>
          <w:bCs/>
          <w:sz w:val="20"/>
          <w:szCs w:val="20"/>
        </w:rPr>
      </w:pPr>
      <w:r w:rsidRPr="009461E4">
        <w:rPr>
          <w:bCs/>
          <w:sz w:val="20"/>
          <w:szCs w:val="20"/>
        </w:rPr>
        <w:t>(</w:t>
      </w:r>
      <w:r w:rsidR="001315C1">
        <w:rPr>
          <w:bCs/>
          <w:sz w:val="20"/>
          <w:szCs w:val="20"/>
        </w:rPr>
        <w:t xml:space="preserve">pamatā </w:t>
      </w:r>
      <w:r w:rsidRPr="009461E4">
        <w:rPr>
          <w:bCs/>
          <w:sz w:val="20"/>
          <w:szCs w:val="20"/>
        </w:rPr>
        <w:t>tiek aprakstīta informācija, kura atšķiras no citām iepirkumu procedūrām)</w:t>
      </w:r>
    </w:p>
    <w:p w14:paraId="5372B623" w14:textId="77777777" w:rsidR="00526576" w:rsidRDefault="00526576">
      <w:pPr>
        <w:rPr>
          <w:bCs/>
          <w:szCs w:val="24"/>
        </w:rPr>
      </w:pPr>
    </w:p>
    <w:p w14:paraId="74945488" w14:textId="0E2DB028" w:rsidR="00526576" w:rsidRPr="00C27BCB" w:rsidRDefault="00526576" w:rsidP="004F21F9">
      <w:pPr>
        <w:pStyle w:val="Sarakstarindkopa"/>
        <w:numPr>
          <w:ilvl w:val="1"/>
          <w:numId w:val="1"/>
        </w:numPr>
        <w:ind w:left="851" w:hanging="436"/>
        <w:rPr>
          <w:bCs/>
          <w:szCs w:val="24"/>
        </w:rPr>
      </w:pPr>
      <w:r w:rsidRPr="00C27BCB">
        <w:rPr>
          <w:bCs/>
          <w:szCs w:val="24"/>
        </w:rPr>
        <w:t>Elektronisko iepirkumu sistēmā (turpmāk – EIS), lai nodrošinātu metu konkursa norisi, kā iepirkuma “Procedūra/ iepirkums” izvēlas “Metu konkurss” un pie “Iepirkuma profils” izvēlas piedāvāto profilu.</w:t>
      </w:r>
    </w:p>
    <w:p w14:paraId="27D0EE48" w14:textId="1609741E" w:rsidR="00B76B97" w:rsidRPr="00C27BCB" w:rsidRDefault="00B76B97" w:rsidP="004F21F9">
      <w:pPr>
        <w:pStyle w:val="Sarakstarindkopa"/>
        <w:numPr>
          <w:ilvl w:val="1"/>
          <w:numId w:val="1"/>
        </w:numPr>
        <w:ind w:left="851" w:hanging="436"/>
      </w:pPr>
      <w:r>
        <w:t>Šķirklī “Iepirkuma komisija” ir iespējams norādīt vienu atbildīgo. Nepieciešamības gadījumā ir iespējams pievienot vēl kādu atbildīgo personu</w:t>
      </w:r>
      <w:r w:rsidR="00F2009B">
        <w:t xml:space="preserve"> </w:t>
      </w:r>
      <w:r w:rsidR="00F2009B" w:rsidRPr="4C1908C3">
        <w:rPr>
          <w:szCs w:val="24"/>
        </w:rPr>
        <w:t>(</w:t>
      </w:r>
      <w:r w:rsidR="00EE39CD" w:rsidRPr="4C1908C3">
        <w:rPr>
          <w:szCs w:val="24"/>
        </w:rPr>
        <w:t xml:space="preserve">logā “Sistēmas </w:t>
      </w:r>
      <w:r w:rsidR="008B5E65" w:rsidRPr="4C1908C3">
        <w:rPr>
          <w:szCs w:val="24"/>
        </w:rPr>
        <w:t>brīdinājums</w:t>
      </w:r>
      <w:r w:rsidR="00EE39CD" w:rsidRPr="4C1908C3">
        <w:rPr>
          <w:szCs w:val="24"/>
        </w:rPr>
        <w:t>”</w:t>
      </w:r>
      <w:r w:rsidR="008B5E65" w:rsidRPr="4C1908C3">
        <w:rPr>
          <w:szCs w:val="24"/>
        </w:rPr>
        <w:t xml:space="preserve"> jānospiež poga “Turpināt”</w:t>
      </w:r>
      <w:r w:rsidR="00F2009B" w:rsidRPr="4C1908C3">
        <w:rPr>
          <w:szCs w:val="24"/>
        </w:rPr>
        <w:t>)</w:t>
      </w:r>
      <w:r w:rsidRPr="4C1908C3">
        <w:rPr>
          <w:szCs w:val="24"/>
        </w:rPr>
        <w:t>.</w:t>
      </w:r>
      <w:r w:rsidR="00D90981" w:rsidRPr="4C1908C3">
        <w:rPr>
          <w:szCs w:val="24"/>
        </w:rPr>
        <w:t xml:space="preserve"> Visas d</w:t>
      </w:r>
      <w:r w:rsidR="00D90981">
        <w:t>arbības EIS veic viens atbildīgais (Atbildīgais sekretārs). Žūrijas sastāvu sistēmā ievadīt nevar.</w:t>
      </w:r>
    </w:p>
    <w:p w14:paraId="688B8C90" w14:textId="13997957" w:rsidR="00D90981" w:rsidRPr="00C27BCB" w:rsidRDefault="00D90981" w:rsidP="004F21F9">
      <w:pPr>
        <w:pStyle w:val="Sarakstarindkopa"/>
        <w:numPr>
          <w:ilvl w:val="1"/>
          <w:numId w:val="1"/>
        </w:numPr>
        <w:ind w:left="851" w:hanging="436"/>
        <w:rPr>
          <w:bCs/>
          <w:szCs w:val="24"/>
        </w:rPr>
      </w:pPr>
      <w:r w:rsidRPr="00C27BCB">
        <w:rPr>
          <w:bCs/>
          <w:szCs w:val="24"/>
        </w:rPr>
        <w:t>Šķirkļa “Pamatdati” izvēršamajā blokā “Iepirkuma priekšmets”, metu konkursam nav iespējams izveidot vairākas daļas</w:t>
      </w:r>
      <w:r w:rsidR="0017158A" w:rsidRPr="00C27BCB">
        <w:rPr>
          <w:bCs/>
          <w:szCs w:val="24"/>
        </w:rPr>
        <w:t>, kā arī paredzēt variantu iesniegšanu</w:t>
      </w:r>
      <w:r w:rsidRPr="00C27BCB">
        <w:rPr>
          <w:bCs/>
          <w:szCs w:val="24"/>
        </w:rPr>
        <w:t>.</w:t>
      </w:r>
      <w:r w:rsidR="0017158A" w:rsidRPr="00C27BCB">
        <w:rPr>
          <w:bCs/>
          <w:szCs w:val="24"/>
        </w:rPr>
        <w:t xml:space="preserve"> </w:t>
      </w:r>
    </w:p>
    <w:p w14:paraId="6CB62F44" w14:textId="0B54B7AA" w:rsidR="00D90981" w:rsidRPr="003606AF" w:rsidRDefault="00D90981" w:rsidP="4C1908C3">
      <w:pPr>
        <w:pStyle w:val="Sarakstarindkopa"/>
        <w:numPr>
          <w:ilvl w:val="1"/>
          <w:numId w:val="1"/>
        </w:numPr>
        <w:ind w:left="851" w:hanging="567"/>
        <w:rPr>
          <w:rFonts w:asciiTheme="minorHAnsi" w:eastAsiaTheme="minorEastAsia" w:hAnsiTheme="minorHAnsi" w:cstheme="minorBidi"/>
          <w:szCs w:val="24"/>
          <w:highlight w:val="yellow"/>
        </w:rPr>
      </w:pPr>
      <w:r w:rsidRPr="4C1908C3">
        <w:rPr>
          <w:szCs w:val="24"/>
        </w:rPr>
        <w:t xml:space="preserve">Šķirkļa “Pamatdati” izvēršamajā blokā “Piedāvājuma sagatavošanas nosacījumi” </w:t>
      </w:r>
      <w:r w:rsidR="00B7594D" w:rsidRPr="4C1908C3">
        <w:rPr>
          <w:szCs w:val="24"/>
        </w:rPr>
        <w:t xml:space="preserve">netiek attēlots ievadlauks </w:t>
      </w:r>
      <w:r w:rsidR="0017158A" w:rsidRPr="4C1908C3">
        <w:rPr>
          <w:szCs w:val="24"/>
        </w:rPr>
        <w:t>“Izvēles metode”</w:t>
      </w:r>
      <w:r w:rsidR="00B7594D" w:rsidRPr="4C1908C3">
        <w:rPr>
          <w:szCs w:val="24"/>
        </w:rPr>
        <w:t xml:space="preserve">, bet </w:t>
      </w:r>
      <w:r w:rsidR="00DF303F" w:rsidRPr="4C1908C3">
        <w:rPr>
          <w:szCs w:val="24"/>
        </w:rPr>
        <w:t>metu konkur</w:t>
      </w:r>
      <w:r w:rsidR="003606AF" w:rsidRPr="4C1908C3">
        <w:rPr>
          <w:szCs w:val="24"/>
        </w:rPr>
        <w:t>s</w:t>
      </w:r>
      <w:r w:rsidR="00DF303F" w:rsidRPr="4C1908C3">
        <w:rPr>
          <w:szCs w:val="24"/>
        </w:rPr>
        <w:t>a norisei tiek piemērota</w:t>
      </w:r>
      <w:r w:rsidR="0017158A" w:rsidRPr="4C1908C3">
        <w:rPr>
          <w:szCs w:val="24"/>
        </w:rPr>
        <w:t xml:space="preserve"> noklusētā vērtība “Saimnieciskā vērtējuma izdarīšana”.</w:t>
      </w:r>
    </w:p>
    <w:p w14:paraId="3AD47445" w14:textId="5F44DF45" w:rsidR="009461E4" w:rsidRDefault="00D53EE6" w:rsidP="004F21F9">
      <w:pPr>
        <w:pStyle w:val="Sarakstarindkopa"/>
        <w:numPr>
          <w:ilvl w:val="1"/>
          <w:numId w:val="1"/>
        </w:numPr>
        <w:ind w:left="851" w:hanging="567"/>
      </w:pPr>
      <w:r w:rsidRPr="4C1908C3">
        <w:rPr>
          <w:szCs w:val="24"/>
        </w:rPr>
        <w:t>Šķirkļa “Pam</w:t>
      </w:r>
      <w:r>
        <w:t>atdati” izvēršamajā blokā “Piedāvājuma sagatavošanas nosacījumi” laukā “Paredzamā līgumcena” obligāti ir jānorāda summa. Gadījumos, kad pasūtītājs šo summu nevēlas publiskot vai vērtība nav paredzēta, laukā “Līgumcena nav publicējama” ieliek atzīmi.</w:t>
      </w:r>
    </w:p>
    <w:p w14:paraId="4E77D554" w14:textId="3B43ABC8" w:rsidR="00C27BCB" w:rsidRDefault="004C0190" w:rsidP="004F21F9">
      <w:pPr>
        <w:pStyle w:val="Sarakstarindkopa"/>
        <w:numPr>
          <w:ilvl w:val="1"/>
          <w:numId w:val="1"/>
        </w:numPr>
        <w:ind w:left="851" w:hanging="567"/>
        <w:rPr>
          <w:bCs/>
          <w:szCs w:val="24"/>
        </w:rPr>
      </w:pPr>
      <w:r>
        <w:rPr>
          <w:bCs/>
          <w:szCs w:val="24"/>
        </w:rPr>
        <w:t xml:space="preserve">Lai varētu norādīt uzvarētāju, obligāti </w:t>
      </w:r>
      <w:r w:rsidR="009461E4">
        <w:rPr>
          <w:bCs/>
          <w:szCs w:val="24"/>
        </w:rPr>
        <w:t xml:space="preserve">šķirklī “Kritēriji” </w:t>
      </w:r>
      <w:r>
        <w:rPr>
          <w:bCs/>
          <w:szCs w:val="24"/>
        </w:rPr>
        <w:t>ir jānorāda vismaz vien</w:t>
      </w:r>
      <w:r w:rsidR="00D53EE6">
        <w:rPr>
          <w:bCs/>
          <w:szCs w:val="24"/>
        </w:rPr>
        <w:t>a piedāvājuma prasība</w:t>
      </w:r>
      <w:r>
        <w:rPr>
          <w:bCs/>
          <w:szCs w:val="24"/>
        </w:rPr>
        <w:t>.</w:t>
      </w:r>
    </w:p>
    <w:p w14:paraId="7F22DC8C" w14:textId="69C03F7D" w:rsidR="004C0190" w:rsidRDefault="004C0190" w:rsidP="004F21F9">
      <w:pPr>
        <w:pStyle w:val="Sarakstarindkopa"/>
        <w:ind w:left="851" w:hanging="567"/>
        <w:rPr>
          <w:bCs/>
          <w:szCs w:val="24"/>
        </w:rPr>
      </w:pPr>
      <w:r>
        <w:rPr>
          <w:bCs/>
          <w:szCs w:val="24"/>
        </w:rPr>
        <w:t>(Rekomendācija: kā “Vērtēšanas veids” izvēlēties “Skaitlisks vērtējums”).</w:t>
      </w:r>
    </w:p>
    <w:p w14:paraId="7A06BC79" w14:textId="4FAFED28" w:rsidR="008D3A76" w:rsidRPr="00E85A1C" w:rsidRDefault="008D3A76" w:rsidP="4C1908C3">
      <w:pPr>
        <w:pStyle w:val="Sarakstarindkopa"/>
        <w:numPr>
          <w:ilvl w:val="1"/>
          <w:numId w:val="1"/>
        </w:numPr>
        <w:ind w:left="851" w:hanging="567"/>
        <w:rPr>
          <w:rFonts w:asciiTheme="minorHAnsi" w:eastAsiaTheme="minorEastAsia" w:hAnsiTheme="minorHAnsi" w:cstheme="minorBidi"/>
          <w:szCs w:val="24"/>
          <w:highlight w:val="yellow"/>
        </w:rPr>
      </w:pPr>
      <w:r w:rsidRPr="4C1908C3">
        <w:rPr>
          <w:szCs w:val="24"/>
        </w:rPr>
        <w:t>Šķirklis “Sēdes” netiek attēlots</w:t>
      </w:r>
      <w:r w:rsidR="003C621D" w:rsidRPr="4C1908C3">
        <w:rPr>
          <w:szCs w:val="24"/>
        </w:rPr>
        <w:t>, līdz ar to vis</w:t>
      </w:r>
      <w:r w:rsidR="00160940" w:rsidRPr="4C1908C3">
        <w:rPr>
          <w:szCs w:val="24"/>
        </w:rPr>
        <w:t>us</w:t>
      </w:r>
      <w:r w:rsidR="003C621D" w:rsidRPr="4C1908C3">
        <w:rPr>
          <w:szCs w:val="24"/>
        </w:rPr>
        <w:t xml:space="preserve"> Komisijas </w:t>
      </w:r>
      <w:r w:rsidR="00F7757D" w:rsidRPr="4C1908C3">
        <w:rPr>
          <w:szCs w:val="24"/>
        </w:rPr>
        <w:t xml:space="preserve">darba gaitas </w:t>
      </w:r>
      <w:r w:rsidR="00893FAC" w:rsidRPr="4C1908C3">
        <w:rPr>
          <w:szCs w:val="24"/>
        </w:rPr>
        <w:t>atspoguļojoš</w:t>
      </w:r>
      <w:r w:rsidR="00160940" w:rsidRPr="4C1908C3">
        <w:rPr>
          <w:szCs w:val="24"/>
        </w:rPr>
        <w:t>os</w:t>
      </w:r>
      <w:r w:rsidR="00F7757D" w:rsidRPr="4C1908C3">
        <w:rPr>
          <w:szCs w:val="24"/>
        </w:rPr>
        <w:t xml:space="preserve"> dokument</w:t>
      </w:r>
      <w:r w:rsidR="00160940" w:rsidRPr="4C1908C3">
        <w:rPr>
          <w:szCs w:val="24"/>
        </w:rPr>
        <w:t>us</w:t>
      </w:r>
      <w:r w:rsidR="00296835" w:rsidRPr="4C1908C3">
        <w:rPr>
          <w:szCs w:val="24"/>
        </w:rPr>
        <w:t>,</w:t>
      </w:r>
      <w:r w:rsidR="00160940" w:rsidRPr="4C1908C3">
        <w:rPr>
          <w:szCs w:val="24"/>
        </w:rPr>
        <w:t xml:space="preserve"> </w:t>
      </w:r>
      <w:r w:rsidR="00296835" w:rsidRPr="4C1908C3">
        <w:rPr>
          <w:szCs w:val="24"/>
        </w:rPr>
        <w:t>t.sk. protokol</w:t>
      </w:r>
      <w:r w:rsidR="00160940" w:rsidRPr="4C1908C3">
        <w:rPr>
          <w:szCs w:val="24"/>
        </w:rPr>
        <w:t>us</w:t>
      </w:r>
      <w:r w:rsidR="00B45389" w:rsidRPr="4C1908C3">
        <w:rPr>
          <w:szCs w:val="24"/>
        </w:rPr>
        <w:t xml:space="preserve">, </w:t>
      </w:r>
      <w:r w:rsidR="00160940" w:rsidRPr="4C1908C3">
        <w:rPr>
          <w:szCs w:val="24"/>
        </w:rPr>
        <w:t xml:space="preserve">var pievienot </w:t>
      </w:r>
      <w:r w:rsidR="00020DDE" w:rsidRPr="4C1908C3">
        <w:rPr>
          <w:szCs w:val="24"/>
        </w:rPr>
        <w:t>šķirkļa “Dokumenti” izvēršamajā blokā “</w:t>
      </w:r>
      <w:r w:rsidR="00E85A1C" w:rsidRPr="4C1908C3">
        <w:rPr>
          <w:szCs w:val="24"/>
        </w:rPr>
        <w:t>Sēžu dokumenti</w:t>
      </w:r>
      <w:r w:rsidR="00020DDE" w:rsidRPr="4C1908C3">
        <w:rPr>
          <w:szCs w:val="24"/>
        </w:rPr>
        <w:t>”</w:t>
      </w:r>
      <w:r w:rsidR="00E85A1C" w:rsidRPr="4C1908C3">
        <w:rPr>
          <w:szCs w:val="24"/>
        </w:rPr>
        <w:t>.</w:t>
      </w:r>
    </w:p>
    <w:p w14:paraId="50D33BED" w14:textId="209D0CC3" w:rsidR="00C92709" w:rsidRPr="00344C16" w:rsidRDefault="00C92709" w:rsidP="4C1908C3">
      <w:pPr>
        <w:pStyle w:val="Sarakstarindkopa"/>
        <w:numPr>
          <w:ilvl w:val="1"/>
          <w:numId w:val="1"/>
        </w:numPr>
        <w:ind w:left="851" w:hanging="567"/>
        <w:rPr>
          <w:rFonts w:asciiTheme="minorHAnsi" w:eastAsiaTheme="minorEastAsia" w:hAnsiTheme="minorHAnsi" w:cstheme="minorBidi"/>
          <w:szCs w:val="24"/>
          <w:highlight w:val="yellow"/>
        </w:rPr>
      </w:pPr>
      <w:r w:rsidRPr="4C1908C3">
        <w:rPr>
          <w:szCs w:val="24"/>
        </w:rPr>
        <w:t>Šķirkļa “Pamatdati” ievadlau</w:t>
      </w:r>
      <w:r w:rsidR="00C154FA" w:rsidRPr="4C1908C3">
        <w:rPr>
          <w:szCs w:val="24"/>
        </w:rPr>
        <w:t>kam “</w:t>
      </w:r>
      <w:r w:rsidR="006A60A4" w:rsidRPr="4C1908C3">
        <w:rPr>
          <w:szCs w:val="24"/>
        </w:rPr>
        <w:t>Atslēgt automātisku paziņojuma sūtīšanu uz IUB</w:t>
      </w:r>
      <w:r w:rsidR="00C154FA" w:rsidRPr="4C1908C3">
        <w:rPr>
          <w:szCs w:val="24"/>
        </w:rPr>
        <w:t>”</w:t>
      </w:r>
      <w:r w:rsidR="006A60A4" w:rsidRPr="4C1908C3">
        <w:rPr>
          <w:szCs w:val="24"/>
        </w:rPr>
        <w:t xml:space="preserve"> </w:t>
      </w:r>
      <w:r w:rsidR="00410633" w:rsidRPr="4C1908C3">
        <w:rPr>
          <w:szCs w:val="24"/>
        </w:rPr>
        <w:t>pēc noklusēj</w:t>
      </w:r>
      <w:r w:rsidR="00FE328F" w:rsidRPr="4C1908C3">
        <w:rPr>
          <w:szCs w:val="24"/>
        </w:rPr>
        <w:t>uma ir veikta atzīme</w:t>
      </w:r>
      <w:r w:rsidR="00382D6F" w:rsidRPr="4C1908C3">
        <w:rPr>
          <w:szCs w:val="24"/>
        </w:rPr>
        <w:t xml:space="preserve"> bez rediģēšanas iespējām</w:t>
      </w:r>
      <w:r w:rsidR="007E3F90" w:rsidRPr="4C1908C3">
        <w:rPr>
          <w:szCs w:val="24"/>
        </w:rPr>
        <w:t>, l</w:t>
      </w:r>
      <w:r w:rsidR="00860309" w:rsidRPr="4C1908C3">
        <w:rPr>
          <w:szCs w:val="24"/>
        </w:rPr>
        <w:t xml:space="preserve">īdz ar to iepirkuma </w:t>
      </w:r>
      <w:r w:rsidR="00B772D2" w:rsidRPr="4C1908C3">
        <w:rPr>
          <w:szCs w:val="24"/>
        </w:rPr>
        <w:t xml:space="preserve">paziņojuma </w:t>
      </w:r>
      <w:r w:rsidR="00860309" w:rsidRPr="4C1908C3">
        <w:rPr>
          <w:szCs w:val="24"/>
        </w:rPr>
        <w:t>sagatave netiek nosūtīta uz IUB</w:t>
      </w:r>
      <w:r w:rsidR="003A3F12" w:rsidRPr="4C1908C3">
        <w:rPr>
          <w:szCs w:val="24"/>
        </w:rPr>
        <w:t xml:space="preserve"> PVS</w:t>
      </w:r>
      <w:r w:rsidR="00B772D2" w:rsidRPr="4C1908C3">
        <w:rPr>
          <w:szCs w:val="24"/>
        </w:rPr>
        <w:t xml:space="preserve"> un </w:t>
      </w:r>
      <w:r w:rsidR="00FA240A" w:rsidRPr="4C1908C3">
        <w:rPr>
          <w:szCs w:val="24"/>
        </w:rPr>
        <w:t xml:space="preserve">pēc šķirkļa “Pamatdati” spiedpogas “Iniciēt publicēšanu” nospiešanas un darbības apstiprināšanas uznirstošajā logā “Izsludināšana” iepirkums </w:t>
      </w:r>
      <w:r w:rsidR="00344C16" w:rsidRPr="4C1908C3">
        <w:rPr>
          <w:szCs w:val="24"/>
        </w:rPr>
        <w:t>uzreiz tiks publicēts EIS.</w:t>
      </w:r>
    </w:p>
    <w:p w14:paraId="33AC7D1D" w14:textId="3D95B771" w:rsidR="009461E4" w:rsidRDefault="009461E4" w:rsidP="004F21F9">
      <w:pPr>
        <w:pStyle w:val="Sarakstarindkopa"/>
        <w:numPr>
          <w:ilvl w:val="1"/>
          <w:numId w:val="1"/>
        </w:numPr>
        <w:ind w:left="851" w:hanging="567"/>
        <w:rPr>
          <w:bCs/>
          <w:szCs w:val="24"/>
        </w:rPr>
      </w:pPr>
      <w:r>
        <w:rPr>
          <w:bCs/>
          <w:szCs w:val="24"/>
        </w:rPr>
        <w:t>Pēc iepirkuma publicēšanas, ir iespējams veikt grozījumus.</w:t>
      </w:r>
    </w:p>
    <w:p w14:paraId="33AB4670" w14:textId="21DCFB33" w:rsidR="003544A4" w:rsidRDefault="003544A4" w:rsidP="004F21F9">
      <w:pPr>
        <w:pStyle w:val="Sarakstarindkopa"/>
        <w:numPr>
          <w:ilvl w:val="1"/>
          <w:numId w:val="1"/>
        </w:numPr>
        <w:ind w:left="851" w:hanging="567"/>
        <w:rPr>
          <w:bCs/>
          <w:szCs w:val="24"/>
        </w:rPr>
      </w:pPr>
      <w:r>
        <w:rPr>
          <w:bCs/>
          <w:szCs w:val="24"/>
        </w:rPr>
        <w:t>Atbildīgajai personai ir iespējams sniegt atbildes uz uzdotajiem jautājumiem šķirkļa “Dokumenti” izvēršamajā blokā “Komisijas atbilde un skaidrojumi”.</w:t>
      </w:r>
    </w:p>
    <w:p w14:paraId="359D8A13" w14:textId="2A1BC2E8" w:rsidR="003544A4" w:rsidRDefault="003544A4" w:rsidP="003544A4">
      <w:pPr>
        <w:pStyle w:val="Sarakstarindkopa"/>
      </w:pPr>
      <w:r>
        <w:lastRenderedPageBreak/>
        <w:t>(Informācijai. Gadījumos, kad piegādātājs ir pieslēdzies EIS un veic jautājuma uzdošanu izmantojot EIS, pasūtītājam</w:t>
      </w:r>
      <w:r w:rsidRPr="4C1908C3">
        <w:rPr>
          <w:szCs w:val="24"/>
        </w:rPr>
        <w:t xml:space="preserve"> </w:t>
      </w:r>
      <w:r w:rsidR="003F2565" w:rsidRPr="4C1908C3">
        <w:rPr>
          <w:szCs w:val="24"/>
        </w:rPr>
        <w:t xml:space="preserve">tāpat kā </w:t>
      </w:r>
      <w:r>
        <w:t>visos iepirkumos tiek attēlots jautājuma iesniedzēja nosaukums. Lai piegādātājs varētu uzdot jautājumu pasūtītājam, viņam nav jāpiesakās</w:t>
      </w:r>
      <w:r w:rsidRPr="4C1908C3">
        <w:rPr>
          <w:szCs w:val="24"/>
        </w:rPr>
        <w:t xml:space="preserve"> nolikuma</w:t>
      </w:r>
      <w:r w:rsidR="00A87D8E" w:rsidRPr="4C1908C3">
        <w:rPr>
          <w:szCs w:val="24"/>
        </w:rPr>
        <w:t xml:space="preserve"> saņemšanai</w:t>
      </w:r>
      <w:r w:rsidRPr="4C1908C3">
        <w:rPr>
          <w:szCs w:val="24"/>
        </w:rPr>
        <w:t xml:space="preserve"> </w:t>
      </w:r>
      <w:r w:rsidR="001D0069">
        <w:t>un nav jāsāk piedāvājuma izveide</w:t>
      </w:r>
      <w:r w:rsidR="00352CC1">
        <w:t>.</w:t>
      </w:r>
      <w:r>
        <w:t>)</w:t>
      </w:r>
    </w:p>
    <w:p w14:paraId="509381E0" w14:textId="77777777" w:rsidR="001D0069" w:rsidRPr="004C0190" w:rsidRDefault="001D0069" w:rsidP="003544A4">
      <w:pPr>
        <w:pStyle w:val="Sarakstarindkopa"/>
        <w:rPr>
          <w:bCs/>
          <w:szCs w:val="24"/>
        </w:rPr>
      </w:pPr>
    </w:p>
    <w:p w14:paraId="0D2B22AE" w14:textId="6321D295" w:rsidR="0017158A" w:rsidRPr="00B04A61" w:rsidRDefault="00B04A61" w:rsidP="00B04A61">
      <w:pPr>
        <w:pStyle w:val="Sarakstarindkopa"/>
        <w:numPr>
          <w:ilvl w:val="0"/>
          <w:numId w:val="1"/>
        </w:numPr>
        <w:jc w:val="center"/>
        <w:rPr>
          <w:b/>
          <w:szCs w:val="24"/>
        </w:rPr>
      </w:pPr>
      <w:r w:rsidRPr="00B04A61">
        <w:rPr>
          <w:b/>
          <w:szCs w:val="24"/>
        </w:rPr>
        <w:t>Metu atvēršana</w:t>
      </w:r>
    </w:p>
    <w:p w14:paraId="08777BBB" w14:textId="4438E278" w:rsidR="00B04A61" w:rsidRPr="00B04A61" w:rsidRDefault="00B04A61" w:rsidP="007733B4">
      <w:pPr>
        <w:pStyle w:val="Sarakstarindkopa"/>
        <w:numPr>
          <w:ilvl w:val="1"/>
          <w:numId w:val="2"/>
        </w:numPr>
        <w:ind w:left="851" w:hanging="491"/>
        <w:rPr>
          <w:bCs/>
          <w:szCs w:val="24"/>
        </w:rPr>
      </w:pPr>
      <w:r>
        <w:rPr>
          <w:bCs/>
          <w:szCs w:val="24"/>
        </w:rPr>
        <w:t>Pēc metu atvēršanas nav iespējams veikt darbības “Uzsākt finanšu piedāvājumu apkopojuma izveidi” un “Uzsākt piedāvājumu atvēršanas protokola izveidi”, kā arī publicēt finanšu piedāvājumu apkopojumu un atvēršanas sēdes protokolu.</w:t>
      </w:r>
    </w:p>
    <w:p w14:paraId="7402A473" w14:textId="77777777" w:rsidR="00A34179" w:rsidRDefault="00A34179" w:rsidP="007733B4">
      <w:pPr>
        <w:pStyle w:val="Sarakstarindkopa"/>
        <w:numPr>
          <w:ilvl w:val="1"/>
          <w:numId w:val="2"/>
        </w:numPr>
        <w:ind w:left="851" w:hanging="491"/>
        <w:rPr>
          <w:bCs/>
          <w:szCs w:val="24"/>
        </w:rPr>
      </w:pPr>
      <w:proofErr w:type="spellStart"/>
      <w:r>
        <w:rPr>
          <w:bCs/>
          <w:szCs w:val="24"/>
        </w:rPr>
        <w:t>Neieinteresētības</w:t>
      </w:r>
      <w:proofErr w:type="spellEnd"/>
      <w:r>
        <w:rPr>
          <w:bCs/>
          <w:szCs w:val="24"/>
        </w:rPr>
        <w:t xml:space="preserve"> apliecinājumā tiek attēlots devīzes nosaukums.</w:t>
      </w:r>
    </w:p>
    <w:p w14:paraId="7D439AB4" w14:textId="263507E6" w:rsidR="00403486" w:rsidRDefault="0001396B" w:rsidP="007733B4">
      <w:pPr>
        <w:pStyle w:val="Sarakstarindkopa"/>
        <w:numPr>
          <w:ilvl w:val="1"/>
          <w:numId w:val="2"/>
        </w:numPr>
        <w:ind w:left="851" w:hanging="491"/>
        <w:rPr>
          <w:bCs/>
          <w:szCs w:val="24"/>
        </w:rPr>
      </w:pPr>
      <w:r>
        <w:rPr>
          <w:bCs/>
          <w:szCs w:val="24"/>
        </w:rPr>
        <w:t>Pēc meta atvēršanas, šķirklī “Piedāvājumi”</w:t>
      </w:r>
      <w:r w:rsidR="00403486">
        <w:rPr>
          <w:bCs/>
          <w:szCs w:val="24"/>
        </w:rPr>
        <w:t>, atver</w:t>
      </w:r>
      <w:r w:rsidR="001E48BA">
        <w:rPr>
          <w:bCs/>
          <w:szCs w:val="24"/>
        </w:rPr>
        <w:t>ot</w:t>
      </w:r>
      <w:r w:rsidR="00403486">
        <w:rPr>
          <w:bCs/>
          <w:szCs w:val="24"/>
        </w:rPr>
        <w:t xml:space="preserve"> hipersaiti “Pretendents/ kandidāts”</w:t>
      </w:r>
      <w:r w:rsidR="00E63439">
        <w:rPr>
          <w:bCs/>
          <w:szCs w:val="24"/>
        </w:rPr>
        <w:t>,</w:t>
      </w:r>
    </w:p>
    <w:p w14:paraId="54EC0887" w14:textId="77777777" w:rsidR="00403486" w:rsidRDefault="00403486" w:rsidP="00403486">
      <w:pPr>
        <w:pStyle w:val="Sarakstarindkopa"/>
        <w:rPr>
          <w:bCs/>
          <w:szCs w:val="24"/>
        </w:rPr>
      </w:pPr>
      <w:r>
        <w:rPr>
          <w:bCs/>
          <w:noProof/>
          <w:szCs w:val="24"/>
        </w:rPr>
        <w:drawing>
          <wp:inline distT="0" distB="0" distL="0" distR="0" wp14:anchorId="72B5E09B" wp14:editId="293E2C53">
            <wp:extent cx="5270500" cy="1200150"/>
            <wp:effectExtent l="0" t="0" r="635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0500" cy="1200150"/>
                    </a:xfrm>
                    <a:prstGeom prst="rect">
                      <a:avLst/>
                    </a:prstGeom>
                    <a:noFill/>
                    <a:ln>
                      <a:noFill/>
                    </a:ln>
                  </pic:spPr>
                </pic:pic>
              </a:graphicData>
            </a:graphic>
          </wp:inline>
        </w:drawing>
      </w:r>
    </w:p>
    <w:p w14:paraId="1B730EB5" w14:textId="5B7CC2C4" w:rsidR="00D55549" w:rsidRDefault="008B59AD" w:rsidP="00A72B3B">
      <w:pPr>
        <w:pStyle w:val="Sarakstarindkopa"/>
        <w:ind w:left="851"/>
        <w:rPr>
          <w:bCs/>
          <w:szCs w:val="24"/>
        </w:rPr>
      </w:pPr>
      <w:r>
        <w:rPr>
          <w:bCs/>
          <w:szCs w:val="24"/>
        </w:rPr>
        <w:t>š</w:t>
      </w:r>
      <w:r w:rsidR="00403486">
        <w:rPr>
          <w:bCs/>
          <w:szCs w:val="24"/>
        </w:rPr>
        <w:t>ķirk</w:t>
      </w:r>
      <w:r w:rsidR="00D55549">
        <w:rPr>
          <w:bCs/>
          <w:szCs w:val="24"/>
        </w:rPr>
        <w:t>ļa</w:t>
      </w:r>
      <w:r w:rsidR="00403486">
        <w:rPr>
          <w:bCs/>
          <w:szCs w:val="24"/>
        </w:rPr>
        <w:t xml:space="preserve"> “</w:t>
      </w:r>
      <w:r w:rsidR="00D55549">
        <w:rPr>
          <w:bCs/>
          <w:szCs w:val="24"/>
        </w:rPr>
        <w:t>Pretendents”</w:t>
      </w:r>
      <w:r w:rsidR="00403486">
        <w:rPr>
          <w:bCs/>
          <w:szCs w:val="24"/>
        </w:rPr>
        <w:t xml:space="preserve"> </w:t>
      </w:r>
      <w:r w:rsidR="00D55549">
        <w:rPr>
          <w:bCs/>
          <w:szCs w:val="24"/>
        </w:rPr>
        <w:t>izvēršamajā blokā “Informācija par metu” tiek attēlots devīzes nosaukums un kandidāta norādītā saziņas informācija.</w:t>
      </w:r>
    </w:p>
    <w:p w14:paraId="56B5BE20" w14:textId="72F74318" w:rsidR="00D55549" w:rsidRDefault="00D55549" w:rsidP="00D55549">
      <w:pPr>
        <w:pStyle w:val="Sarakstarindkopa"/>
        <w:rPr>
          <w:bCs/>
          <w:szCs w:val="24"/>
        </w:rPr>
      </w:pPr>
      <w:r>
        <w:rPr>
          <w:bCs/>
          <w:noProof/>
          <w:szCs w:val="24"/>
        </w:rPr>
        <w:drawing>
          <wp:inline distT="0" distB="0" distL="0" distR="0" wp14:anchorId="638BF137" wp14:editId="23202BD2">
            <wp:extent cx="5270500" cy="1282700"/>
            <wp:effectExtent l="0" t="0" r="635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1282700"/>
                    </a:xfrm>
                    <a:prstGeom prst="rect">
                      <a:avLst/>
                    </a:prstGeom>
                    <a:noFill/>
                    <a:ln>
                      <a:noFill/>
                    </a:ln>
                  </pic:spPr>
                </pic:pic>
              </a:graphicData>
            </a:graphic>
          </wp:inline>
        </w:drawing>
      </w:r>
    </w:p>
    <w:p w14:paraId="12D5EB6E" w14:textId="6D9F041D" w:rsidR="00D55549" w:rsidRDefault="00D55549" w:rsidP="00833F87">
      <w:pPr>
        <w:pStyle w:val="Sarakstarindkopa"/>
        <w:numPr>
          <w:ilvl w:val="1"/>
          <w:numId w:val="2"/>
        </w:numPr>
        <w:ind w:left="851" w:hanging="491"/>
        <w:rPr>
          <w:bCs/>
          <w:szCs w:val="24"/>
        </w:rPr>
      </w:pPr>
      <w:r>
        <w:rPr>
          <w:bCs/>
          <w:szCs w:val="24"/>
        </w:rPr>
        <w:t>Šķirklī “Daļas” ir iespējams apskatīt iesniegto piedāvājumu. Lai apskatītu un lejupielādētu pievienotās datnes, ir j</w:t>
      </w:r>
      <w:r w:rsidR="00D30BF0">
        <w:rPr>
          <w:bCs/>
          <w:szCs w:val="24"/>
        </w:rPr>
        <w:t>āveic katras prasības katra ieraksta atvēršana, nospiežot uz simbola “Atvērt ierakstu”.</w:t>
      </w:r>
    </w:p>
    <w:p w14:paraId="3CF0DA73" w14:textId="1A250E79" w:rsidR="00D30BF0" w:rsidRDefault="00D30BF0" w:rsidP="00D30BF0">
      <w:pPr>
        <w:pStyle w:val="Sarakstarindkopa"/>
        <w:rPr>
          <w:bCs/>
          <w:szCs w:val="24"/>
        </w:rPr>
      </w:pPr>
      <w:r>
        <w:rPr>
          <w:bCs/>
          <w:noProof/>
          <w:szCs w:val="24"/>
        </w:rPr>
        <w:drawing>
          <wp:inline distT="0" distB="0" distL="0" distR="0" wp14:anchorId="4E002F8D" wp14:editId="32F3AAE0">
            <wp:extent cx="5270500" cy="149225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0" cy="1492250"/>
                    </a:xfrm>
                    <a:prstGeom prst="rect">
                      <a:avLst/>
                    </a:prstGeom>
                    <a:noFill/>
                    <a:ln>
                      <a:noFill/>
                    </a:ln>
                  </pic:spPr>
                </pic:pic>
              </a:graphicData>
            </a:graphic>
          </wp:inline>
        </w:drawing>
      </w:r>
    </w:p>
    <w:p w14:paraId="1AA90AFB" w14:textId="092BFA66" w:rsidR="00D30BF0" w:rsidRDefault="00661BE1" w:rsidP="00B809BD">
      <w:pPr>
        <w:pStyle w:val="Sarakstarindkopa"/>
        <w:numPr>
          <w:ilvl w:val="1"/>
          <w:numId w:val="2"/>
        </w:numPr>
        <w:ind w:left="851" w:hanging="491"/>
        <w:rPr>
          <w:bCs/>
          <w:szCs w:val="24"/>
        </w:rPr>
      </w:pPr>
      <w:r>
        <w:rPr>
          <w:bCs/>
          <w:szCs w:val="24"/>
        </w:rPr>
        <w:t xml:space="preserve">Datnes vai vairāku datņu lejupielādei </w:t>
      </w:r>
      <w:r w:rsidR="0093463A">
        <w:rPr>
          <w:bCs/>
          <w:szCs w:val="24"/>
        </w:rPr>
        <w:t>nepieciešams</w:t>
      </w:r>
      <w:r>
        <w:rPr>
          <w:bCs/>
          <w:szCs w:val="24"/>
        </w:rPr>
        <w:t xml:space="preserve"> izvēlēties darbību “Lejupielādēt datni/ -es”.</w:t>
      </w:r>
    </w:p>
    <w:p w14:paraId="409A704B" w14:textId="4C5129E7" w:rsidR="00661BE1" w:rsidRDefault="00661BE1" w:rsidP="00661BE1">
      <w:pPr>
        <w:pStyle w:val="Sarakstarindkopa"/>
        <w:rPr>
          <w:bCs/>
          <w:szCs w:val="24"/>
        </w:rPr>
      </w:pPr>
      <w:r>
        <w:rPr>
          <w:bCs/>
          <w:noProof/>
          <w:szCs w:val="24"/>
        </w:rPr>
        <w:lastRenderedPageBreak/>
        <w:drawing>
          <wp:inline distT="0" distB="0" distL="0" distR="0" wp14:anchorId="16D00C99" wp14:editId="51951F65">
            <wp:extent cx="5270500" cy="135255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0500" cy="1352550"/>
                    </a:xfrm>
                    <a:prstGeom prst="rect">
                      <a:avLst/>
                    </a:prstGeom>
                    <a:noFill/>
                    <a:ln>
                      <a:noFill/>
                    </a:ln>
                  </pic:spPr>
                </pic:pic>
              </a:graphicData>
            </a:graphic>
          </wp:inline>
        </w:drawing>
      </w:r>
    </w:p>
    <w:p w14:paraId="0F23A208" w14:textId="42F30E72" w:rsidR="00661BE1" w:rsidRDefault="00661BE1" w:rsidP="00661BE1">
      <w:pPr>
        <w:pStyle w:val="Sarakstarindkopa"/>
        <w:rPr>
          <w:bCs/>
          <w:szCs w:val="24"/>
        </w:rPr>
      </w:pPr>
      <w:r w:rsidRPr="00547561">
        <w:rPr>
          <w:bCs/>
          <w:color w:val="FF0000"/>
          <w:szCs w:val="24"/>
        </w:rPr>
        <w:t>!</w:t>
      </w:r>
      <w:r>
        <w:rPr>
          <w:bCs/>
          <w:szCs w:val="24"/>
        </w:rPr>
        <w:t xml:space="preserve"> Šķirklī “Daļas” nav pieejams izvēršamais bloks “Sistēmā iesniegts piedāvājums” un netiek attēlota hipersaite “Piedāvājums”.</w:t>
      </w:r>
      <w:r w:rsidR="00E668BA">
        <w:rPr>
          <w:bCs/>
          <w:szCs w:val="24"/>
        </w:rPr>
        <w:t xml:space="preserve"> Hipersaite tiek attēlota tikai pēc devīzes atvēršanas.</w:t>
      </w:r>
    </w:p>
    <w:p w14:paraId="60C15723" w14:textId="3783CF73" w:rsidR="00661BE1" w:rsidRDefault="00547561" w:rsidP="00661BE1">
      <w:pPr>
        <w:pStyle w:val="Sarakstarindkopa"/>
        <w:rPr>
          <w:bCs/>
          <w:szCs w:val="24"/>
        </w:rPr>
      </w:pPr>
      <w:r>
        <w:rPr>
          <w:bCs/>
          <w:noProof/>
          <w:szCs w:val="24"/>
        </w:rPr>
        <w:drawing>
          <wp:inline distT="0" distB="0" distL="0" distR="0" wp14:anchorId="5FE8F027" wp14:editId="6ED33421">
            <wp:extent cx="5270500" cy="1212850"/>
            <wp:effectExtent l="0" t="0" r="6350" b="635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0" cy="1212850"/>
                    </a:xfrm>
                    <a:prstGeom prst="rect">
                      <a:avLst/>
                    </a:prstGeom>
                    <a:noFill/>
                    <a:ln>
                      <a:noFill/>
                    </a:ln>
                  </pic:spPr>
                </pic:pic>
              </a:graphicData>
            </a:graphic>
          </wp:inline>
        </w:drawing>
      </w:r>
      <w:r w:rsidR="00661BE1">
        <w:rPr>
          <w:bCs/>
          <w:szCs w:val="24"/>
        </w:rPr>
        <w:t xml:space="preserve"> </w:t>
      </w:r>
    </w:p>
    <w:p w14:paraId="6903FC11" w14:textId="56BA3330" w:rsidR="00D90981" w:rsidRDefault="00D55549" w:rsidP="00D55549">
      <w:pPr>
        <w:pStyle w:val="Sarakstarindkopa"/>
        <w:rPr>
          <w:bCs/>
          <w:szCs w:val="24"/>
        </w:rPr>
      </w:pPr>
      <w:r>
        <w:rPr>
          <w:bCs/>
          <w:szCs w:val="24"/>
        </w:rPr>
        <w:t xml:space="preserve"> </w:t>
      </w:r>
    </w:p>
    <w:p w14:paraId="404A8C0F" w14:textId="36317A1E" w:rsidR="00547561" w:rsidRDefault="00547561" w:rsidP="00D55549">
      <w:pPr>
        <w:pStyle w:val="Sarakstarindkopa"/>
        <w:rPr>
          <w:bCs/>
          <w:szCs w:val="24"/>
        </w:rPr>
      </w:pPr>
      <w:r w:rsidRPr="00547561">
        <w:rPr>
          <w:bCs/>
          <w:color w:val="FF0000"/>
          <w:szCs w:val="24"/>
        </w:rPr>
        <w:t>!</w:t>
      </w:r>
      <w:r>
        <w:rPr>
          <w:bCs/>
          <w:szCs w:val="24"/>
        </w:rPr>
        <w:t xml:space="preserve"> Šķirklī “Vērtēšana” netiek attēlota spiedpoga “Veidot piedāvājuma apkopojumu”.</w:t>
      </w:r>
      <w:r w:rsidR="00E668BA">
        <w:rPr>
          <w:bCs/>
          <w:szCs w:val="24"/>
        </w:rPr>
        <w:t xml:space="preserve"> Poga tiek attēlota tikai pēc devīzes atvēršanas.</w:t>
      </w:r>
    </w:p>
    <w:p w14:paraId="69E87194" w14:textId="3399C328" w:rsidR="002F7A1F" w:rsidRDefault="002F7A1F" w:rsidP="00D55549">
      <w:pPr>
        <w:pStyle w:val="Sarakstarindkopa"/>
        <w:rPr>
          <w:bCs/>
          <w:szCs w:val="24"/>
        </w:rPr>
      </w:pPr>
      <w:r>
        <w:rPr>
          <w:bCs/>
          <w:color w:val="FF0000"/>
          <w:szCs w:val="24"/>
        </w:rPr>
        <w:t>!</w:t>
      </w:r>
      <w:r>
        <w:rPr>
          <w:bCs/>
          <w:szCs w:val="24"/>
        </w:rPr>
        <w:t xml:space="preserve"> Šķirklī “Dokumenti” netiek attēlots izvēršamais bloks “Iepirkuma dokumentācijas apkopojums”.</w:t>
      </w:r>
      <w:r w:rsidR="00E668BA">
        <w:rPr>
          <w:bCs/>
          <w:szCs w:val="24"/>
        </w:rPr>
        <w:t xml:space="preserve"> Izvēršamais bloks tiek attēlota tikai pēc devīzes atvēršanas.</w:t>
      </w:r>
    </w:p>
    <w:p w14:paraId="7E611679" w14:textId="57EFEA5D" w:rsidR="006B1661" w:rsidRDefault="006B1661" w:rsidP="00E037E7">
      <w:pPr>
        <w:pStyle w:val="Sarakstarindkopa"/>
        <w:numPr>
          <w:ilvl w:val="1"/>
          <w:numId w:val="2"/>
        </w:numPr>
        <w:ind w:left="851" w:hanging="491"/>
        <w:rPr>
          <w:bCs/>
          <w:szCs w:val="24"/>
        </w:rPr>
      </w:pPr>
      <w:r>
        <w:rPr>
          <w:bCs/>
          <w:szCs w:val="24"/>
        </w:rPr>
        <w:t>Visa komunikācija ar meta iesniedzēju ir jāveic ārpus EIS. Pēc metu atvēršanas, atbildīgajam sekretāram ir iespējams iepazīties ar kandidāta norādīto kontaktinformāciju. Konkrētā kandidāta šķirkļa “Pretendents”  izvēršamajā blokā “Informācija par metu” ir apskatāma norādītā kontaktinformācija.</w:t>
      </w:r>
    </w:p>
    <w:p w14:paraId="29FEDA89" w14:textId="6B305C20" w:rsidR="006B1661" w:rsidRDefault="006B1661" w:rsidP="006B1661">
      <w:pPr>
        <w:pStyle w:val="Sarakstarindkopa"/>
        <w:rPr>
          <w:bCs/>
          <w:szCs w:val="24"/>
        </w:rPr>
      </w:pPr>
      <w:r>
        <w:rPr>
          <w:bCs/>
          <w:noProof/>
          <w:szCs w:val="24"/>
        </w:rPr>
        <w:drawing>
          <wp:inline distT="0" distB="0" distL="0" distR="0" wp14:anchorId="3238F9DF" wp14:editId="19F51B98">
            <wp:extent cx="5270500" cy="1365250"/>
            <wp:effectExtent l="0" t="0" r="6350" b="635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0" cy="1365250"/>
                    </a:xfrm>
                    <a:prstGeom prst="rect">
                      <a:avLst/>
                    </a:prstGeom>
                    <a:noFill/>
                    <a:ln>
                      <a:noFill/>
                    </a:ln>
                  </pic:spPr>
                </pic:pic>
              </a:graphicData>
            </a:graphic>
          </wp:inline>
        </w:drawing>
      </w:r>
    </w:p>
    <w:p w14:paraId="3CF2206F" w14:textId="2FD31340" w:rsidR="00CB2C09" w:rsidRDefault="00CB2C09" w:rsidP="00D55549">
      <w:pPr>
        <w:pStyle w:val="Sarakstarindkopa"/>
        <w:rPr>
          <w:bCs/>
          <w:szCs w:val="24"/>
        </w:rPr>
      </w:pPr>
    </w:p>
    <w:p w14:paraId="4F963852" w14:textId="021A2F35" w:rsidR="00CB2C09" w:rsidRPr="00CB2C09" w:rsidRDefault="00CB2C09" w:rsidP="00CB2C09">
      <w:pPr>
        <w:pStyle w:val="Sarakstarindkopa"/>
        <w:numPr>
          <w:ilvl w:val="0"/>
          <w:numId w:val="1"/>
        </w:numPr>
        <w:jc w:val="center"/>
        <w:rPr>
          <w:b/>
          <w:szCs w:val="24"/>
        </w:rPr>
      </w:pPr>
      <w:r w:rsidRPr="00CB2C09">
        <w:rPr>
          <w:b/>
          <w:szCs w:val="24"/>
        </w:rPr>
        <w:t>Metu vērtēšana</w:t>
      </w:r>
    </w:p>
    <w:p w14:paraId="5D248B68" w14:textId="4CF2F250" w:rsidR="00CB2C09" w:rsidRDefault="00CB2C09" w:rsidP="00D55549">
      <w:pPr>
        <w:pStyle w:val="Sarakstarindkopa"/>
        <w:rPr>
          <w:bCs/>
          <w:szCs w:val="24"/>
        </w:rPr>
      </w:pPr>
    </w:p>
    <w:p w14:paraId="6F1F44AA" w14:textId="6B5F100F" w:rsidR="00547561" w:rsidRDefault="00CB2C09" w:rsidP="00C70AD6">
      <w:pPr>
        <w:pStyle w:val="Sarakstarindkopa"/>
        <w:numPr>
          <w:ilvl w:val="1"/>
          <w:numId w:val="3"/>
        </w:numPr>
        <w:ind w:left="851" w:hanging="567"/>
        <w:rPr>
          <w:bCs/>
          <w:szCs w:val="24"/>
        </w:rPr>
      </w:pPr>
      <w:r>
        <w:rPr>
          <w:bCs/>
          <w:szCs w:val="24"/>
        </w:rPr>
        <w:t>Pēc žūrijas vērtējuma saņemšanas, šķirklī “Vērtēšana” ir iespējams ievadīt rezultātus, pārtraukt iepirkumu vai izbeigt iepirkumu.</w:t>
      </w:r>
    </w:p>
    <w:p w14:paraId="203B2825" w14:textId="5573C27F" w:rsidR="00EA0B0F" w:rsidRDefault="00EA0B0F" w:rsidP="00EA0B0F">
      <w:pPr>
        <w:pStyle w:val="Sarakstarindkopa"/>
        <w:ind w:left="709"/>
        <w:rPr>
          <w:bCs/>
          <w:szCs w:val="24"/>
        </w:rPr>
      </w:pPr>
      <w:r>
        <w:rPr>
          <w:bCs/>
          <w:noProof/>
          <w:szCs w:val="24"/>
        </w:rPr>
        <w:lastRenderedPageBreak/>
        <w:drawing>
          <wp:inline distT="0" distB="0" distL="0" distR="0" wp14:anchorId="768126A0" wp14:editId="05C44410">
            <wp:extent cx="5270500" cy="1422400"/>
            <wp:effectExtent l="0" t="0" r="6350" b="635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0" cy="1422400"/>
                    </a:xfrm>
                    <a:prstGeom prst="rect">
                      <a:avLst/>
                    </a:prstGeom>
                    <a:noFill/>
                    <a:ln>
                      <a:noFill/>
                    </a:ln>
                  </pic:spPr>
                </pic:pic>
              </a:graphicData>
            </a:graphic>
          </wp:inline>
        </w:drawing>
      </w:r>
    </w:p>
    <w:p w14:paraId="6C244A8B" w14:textId="79482BC4" w:rsidR="00CB2C09" w:rsidRPr="00303C40" w:rsidRDefault="004A7FAB" w:rsidP="5C847806">
      <w:pPr>
        <w:pStyle w:val="Sarakstarindkopa"/>
        <w:numPr>
          <w:ilvl w:val="1"/>
          <w:numId w:val="3"/>
        </w:numPr>
        <w:ind w:left="851" w:hanging="567"/>
        <w:rPr>
          <w:rFonts w:asciiTheme="minorHAnsi" w:eastAsiaTheme="minorEastAsia" w:hAnsiTheme="minorHAnsi" w:cstheme="minorBidi"/>
          <w:szCs w:val="24"/>
          <w:highlight w:val="yellow"/>
        </w:rPr>
      </w:pPr>
      <w:r w:rsidRPr="5C847806">
        <w:rPr>
          <w:szCs w:val="24"/>
        </w:rPr>
        <w:t xml:space="preserve">Nospiežot pogu </w:t>
      </w:r>
      <w:r w:rsidR="00CB2C09" w:rsidRPr="5C847806">
        <w:rPr>
          <w:szCs w:val="24"/>
        </w:rPr>
        <w:t xml:space="preserve">“Ievadīt rezultātus” </w:t>
      </w:r>
      <w:r w:rsidR="00E03DA4" w:rsidRPr="5C847806">
        <w:rPr>
          <w:szCs w:val="24"/>
        </w:rPr>
        <w:t xml:space="preserve">un </w:t>
      </w:r>
      <w:r w:rsidRPr="5C847806">
        <w:rPr>
          <w:szCs w:val="24"/>
        </w:rPr>
        <w:t>izvēršot</w:t>
      </w:r>
      <w:r w:rsidR="00CB2C09" w:rsidRPr="5C847806">
        <w:rPr>
          <w:szCs w:val="24"/>
        </w:rPr>
        <w:t xml:space="preserve"> blok</w:t>
      </w:r>
      <w:r w:rsidR="00E03DA4" w:rsidRPr="5C847806">
        <w:rPr>
          <w:szCs w:val="24"/>
        </w:rPr>
        <w:t>u</w:t>
      </w:r>
      <w:r w:rsidR="00CB2C09" w:rsidRPr="5C847806">
        <w:rPr>
          <w:szCs w:val="24"/>
        </w:rPr>
        <w:t xml:space="preserve"> “Iepirkuma daļa Nr.1”</w:t>
      </w:r>
      <w:r w:rsidR="00E03DA4" w:rsidRPr="5C847806">
        <w:rPr>
          <w:szCs w:val="24"/>
        </w:rPr>
        <w:t>, ir iespējams norādīt metu konkursa rezultātu</w:t>
      </w:r>
      <w:r w:rsidR="00CB1069" w:rsidRPr="5C847806">
        <w:rPr>
          <w:szCs w:val="24"/>
        </w:rPr>
        <w:t>s</w:t>
      </w:r>
      <w:r w:rsidR="00257858" w:rsidRPr="5C847806">
        <w:rPr>
          <w:szCs w:val="24"/>
        </w:rPr>
        <w:t xml:space="preserve">. </w:t>
      </w:r>
      <w:r w:rsidR="001623BF" w:rsidRPr="5C847806">
        <w:rPr>
          <w:szCs w:val="24"/>
        </w:rPr>
        <w:t xml:space="preserve">Godalgu norādei </w:t>
      </w:r>
      <w:r w:rsidR="00E03DA4" w:rsidRPr="5C847806">
        <w:rPr>
          <w:szCs w:val="24"/>
        </w:rPr>
        <w:t>izvēl</w:t>
      </w:r>
      <w:r w:rsidR="00303C40" w:rsidRPr="5C847806">
        <w:rPr>
          <w:szCs w:val="24"/>
        </w:rPr>
        <w:t>ie</w:t>
      </w:r>
      <w:r w:rsidR="00E03DA4" w:rsidRPr="5C847806">
        <w:rPr>
          <w:szCs w:val="24"/>
        </w:rPr>
        <w:t>ties hipersaiti “Piešķirt godalgas”.</w:t>
      </w:r>
    </w:p>
    <w:p w14:paraId="03618595" w14:textId="66E15AC9" w:rsidR="00E03DA4" w:rsidRDefault="00E03DA4" w:rsidP="00E03DA4">
      <w:pPr>
        <w:pStyle w:val="Sarakstarindkopa"/>
        <w:ind w:left="1080"/>
        <w:rPr>
          <w:bCs/>
          <w:szCs w:val="24"/>
        </w:rPr>
      </w:pPr>
      <w:r>
        <w:rPr>
          <w:bCs/>
          <w:noProof/>
          <w:szCs w:val="24"/>
        </w:rPr>
        <w:drawing>
          <wp:inline distT="0" distB="0" distL="0" distR="0" wp14:anchorId="11C3A0C0" wp14:editId="39C1252D">
            <wp:extent cx="5270500" cy="2616200"/>
            <wp:effectExtent l="0" t="0" r="635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0500" cy="2616200"/>
                    </a:xfrm>
                    <a:prstGeom prst="rect">
                      <a:avLst/>
                    </a:prstGeom>
                    <a:noFill/>
                    <a:ln>
                      <a:noFill/>
                    </a:ln>
                  </pic:spPr>
                </pic:pic>
              </a:graphicData>
            </a:graphic>
          </wp:inline>
        </w:drawing>
      </w:r>
    </w:p>
    <w:p w14:paraId="1CCD3DA1" w14:textId="6E2034D9" w:rsidR="008062CE" w:rsidRDefault="00E03DA4" w:rsidP="002351F2">
      <w:pPr>
        <w:pStyle w:val="Sarakstarindkopa"/>
        <w:numPr>
          <w:ilvl w:val="1"/>
          <w:numId w:val="3"/>
        </w:numPr>
        <w:ind w:left="851" w:hanging="567"/>
        <w:rPr>
          <w:bCs/>
          <w:szCs w:val="24"/>
        </w:rPr>
      </w:pPr>
      <w:r>
        <w:rPr>
          <w:bCs/>
          <w:szCs w:val="24"/>
        </w:rPr>
        <w:t xml:space="preserve">Pēc izvēlnes veikšanas, </w:t>
      </w:r>
      <w:r w:rsidR="008062CE">
        <w:rPr>
          <w:bCs/>
          <w:szCs w:val="24"/>
        </w:rPr>
        <w:t>uznirstošajā logā “Godalgu piešķiršana” ir iespējams norādīt kandidātam piešķirto vietu (ja attiecināms). Lai norādītu vietu, ir jāizvēlas konkrētā devīze. Ir iespējams vairākiem kandidātiem norādīt vienādas vietas</w:t>
      </w:r>
      <w:r w:rsidR="00F21616">
        <w:rPr>
          <w:bCs/>
          <w:szCs w:val="24"/>
        </w:rPr>
        <w:t xml:space="preserve"> vai</w:t>
      </w:r>
      <w:r w:rsidR="008062CE">
        <w:rPr>
          <w:bCs/>
          <w:szCs w:val="24"/>
        </w:rPr>
        <w:t xml:space="preserve"> kādam no atzīmētajiem kandidātiem nenorādīt vietu.</w:t>
      </w:r>
    </w:p>
    <w:p w14:paraId="5F2DF531" w14:textId="04A81B8A" w:rsidR="008062CE" w:rsidRDefault="008062CE" w:rsidP="008062CE">
      <w:pPr>
        <w:pStyle w:val="Sarakstarindkopa"/>
        <w:ind w:left="1080"/>
        <w:rPr>
          <w:bCs/>
          <w:szCs w:val="24"/>
        </w:rPr>
      </w:pPr>
      <w:r>
        <w:rPr>
          <w:bCs/>
          <w:noProof/>
          <w:szCs w:val="24"/>
        </w:rPr>
        <w:drawing>
          <wp:inline distT="0" distB="0" distL="0" distR="0" wp14:anchorId="4AF832EE" wp14:editId="0E39870F">
            <wp:extent cx="5270500" cy="2679700"/>
            <wp:effectExtent l="0" t="0" r="6350" b="635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0500" cy="2679700"/>
                    </a:xfrm>
                    <a:prstGeom prst="rect">
                      <a:avLst/>
                    </a:prstGeom>
                    <a:noFill/>
                    <a:ln>
                      <a:noFill/>
                    </a:ln>
                  </pic:spPr>
                </pic:pic>
              </a:graphicData>
            </a:graphic>
          </wp:inline>
        </w:drawing>
      </w:r>
    </w:p>
    <w:p w14:paraId="40353C39" w14:textId="0E15D60E" w:rsidR="008062CE" w:rsidRDefault="00991169" w:rsidP="008062CE">
      <w:pPr>
        <w:pStyle w:val="Sarakstarindkopa"/>
        <w:numPr>
          <w:ilvl w:val="1"/>
          <w:numId w:val="3"/>
        </w:numPr>
        <w:rPr>
          <w:bCs/>
          <w:szCs w:val="24"/>
        </w:rPr>
      </w:pPr>
      <w:r>
        <w:rPr>
          <w:bCs/>
          <w:szCs w:val="24"/>
        </w:rPr>
        <w:t>Pēc rezultātu ievades un vietas (ja attiecināms) piešķiršanas ir nepieciešams apstiprināt rezultātus, nospiežot spiedpogu “Apstiprināt rezultātus”.</w:t>
      </w:r>
    </w:p>
    <w:p w14:paraId="76C18B28" w14:textId="365793DC" w:rsidR="00991169" w:rsidRDefault="00991169" w:rsidP="00991169">
      <w:pPr>
        <w:pStyle w:val="Sarakstarindkopa"/>
        <w:ind w:left="1080"/>
        <w:rPr>
          <w:bCs/>
          <w:szCs w:val="24"/>
        </w:rPr>
      </w:pPr>
      <w:r>
        <w:rPr>
          <w:bCs/>
          <w:noProof/>
          <w:szCs w:val="24"/>
        </w:rPr>
        <w:lastRenderedPageBreak/>
        <w:drawing>
          <wp:inline distT="0" distB="0" distL="0" distR="0" wp14:anchorId="2B28DDE2" wp14:editId="2E0450F0">
            <wp:extent cx="5274310" cy="2608580"/>
            <wp:effectExtent l="0" t="0" r="2540" b="127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74310" cy="2608580"/>
                    </a:xfrm>
                    <a:prstGeom prst="rect">
                      <a:avLst/>
                    </a:prstGeom>
                    <a:noFill/>
                    <a:ln>
                      <a:noFill/>
                    </a:ln>
                  </pic:spPr>
                </pic:pic>
              </a:graphicData>
            </a:graphic>
          </wp:inline>
        </w:drawing>
      </w:r>
    </w:p>
    <w:p w14:paraId="58D03A42" w14:textId="2A81216E" w:rsidR="00991169" w:rsidRDefault="00991169" w:rsidP="00991169">
      <w:pPr>
        <w:pStyle w:val="Sarakstarindkopa"/>
        <w:numPr>
          <w:ilvl w:val="1"/>
          <w:numId w:val="3"/>
        </w:numPr>
        <w:rPr>
          <w:bCs/>
          <w:szCs w:val="24"/>
        </w:rPr>
      </w:pPr>
      <w:r>
        <w:rPr>
          <w:bCs/>
          <w:szCs w:val="24"/>
        </w:rPr>
        <w:t xml:space="preserve">Uznirstošajā logā “Rezultātu apstiprināšana” </w:t>
      </w:r>
      <w:r w:rsidR="00584F83">
        <w:rPr>
          <w:bCs/>
          <w:szCs w:val="24"/>
        </w:rPr>
        <w:t>norāda lēmuma pieņemšanas datumu</w:t>
      </w:r>
      <w:r w:rsidR="00AF7026">
        <w:rPr>
          <w:bCs/>
          <w:szCs w:val="24"/>
        </w:rPr>
        <w:t xml:space="preserve"> un apstiprina rezultātus.</w:t>
      </w:r>
    </w:p>
    <w:p w14:paraId="472E64B7" w14:textId="75D1E1E6" w:rsidR="00584F83" w:rsidRDefault="00AF7026" w:rsidP="00584F83">
      <w:pPr>
        <w:pStyle w:val="Sarakstarindkopa"/>
        <w:ind w:left="1080"/>
        <w:rPr>
          <w:bCs/>
          <w:szCs w:val="24"/>
        </w:rPr>
      </w:pPr>
      <w:r>
        <w:rPr>
          <w:bCs/>
          <w:noProof/>
          <w:szCs w:val="24"/>
        </w:rPr>
        <w:drawing>
          <wp:inline distT="0" distB="0" distL="0" distR="0" wp14:anchorId="440B92E3" wp14:editId="21BD4A23">
            <wp:extent cx="5270500" cy="20955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0500" cy="2095500"/>
                    </a:xfrm>
                    <a:prstGeom prst="rect">
                      <a:avLst/>
                    </a:prstGeom>
                    <a:noFill/>
                    <a:ln>
                      <a:noFill/>
                    </a:ln>
                  </pic:spPr>
                </pic:pic>
              </a:graphicData>
            </a:graphic>
          </wp:inline>
        </w:drawing>
      </w:r>
    </w:p>
    <w:p w14:paraId="6124D78D" w14:textId="1EEB7682" w:rsidR="00584F83" w:rsidRDefault="00AF7026" w:rsidP="00584F83">
      <w:pPr>
        <w:pStyle w:val="Sarakstarindkopa"/>
        <w:numPr>
          <w:ilvl w:val="1"/>
          <w:numId w:val="3"/>
        </w:numPr>
      </w:pPr>
      <w:r>
        <w:t xml:space="preserve"> </w:t>
      </w:r>
      <w:r w:rsidR="37548C57">
        <w:t xml:space="preserve">Ja nepieciešams </w:t>
      </w:r>
      <w:r>
        <w:t xml:space="preserve">norādīt citus rezultātus, </w:t>
      </w:r>
      <w:r w:rsidR="5CA8A09A">
        <w:t xml:space="preserve">to var veikt, </w:t>
      </w:r>
      <w:r>
        <w:t>nospiežot pogu “</w:t>
      </w:r>
      <w:r w:rsidR="00290145">
        <w:t>Ievadīt rezultātus atkārtoti”.</w:t>
      </w:r>
    </w:p>
    <w:p w14:paraId="2A4EE351" w14:textId="1B58E146" w:rsidR="00290145" w:rsidRDefault="00290145" w:rsidP="00290145">
      <w:pPr>
        <w:pStyle w:val="Sarakstarindkopa"/>
        <w:ind w:left="1080"/>
        <w:rPr>
          <w:bCs/>
          <w:szCs w:val="24"/>
        </w:rPr>
      </w:pPr>
      <w:r>
        <w:rPr>
          <w:bCs/>
          <w:noProof/>
          <w:szCs w:val="24"/>
        </w:rPr>
        <w:drawing>
          <wp:inline distT="0" distB="0" distL="0" distR="0" wp14:anchorId="0AAF0B5A" wp14:editId="0EC0F3E2">
            <wp:extent cx="5270500" cy="1784350"/>
            <wp:effectExtent l="0" t="0" r="6350" b="635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0" cy="1784350"/>
                    </a:xfrm>
                    <a:prstGeom prst="rect">
                      <a:avLst/>
                    </a:prstGeom>
                    <a:noFill/>
                    <a:ln>
                      <a:noFill/>
                    </a:ln>
                  </pic:spPr>
                </pic:pic>
              </a:graphicData>
            </a:graphic>
          </wp:inline>
        </w:drawing>
      </w:r>
    </w:p>
    <w:p w14:paraId="32CAEA99" w14:textId="77777777" w:rsidR="00A345F1" w:rsidRDefault="00A345F1" w:rsidP="00290145">
      <w:pPr>
        <w:pStyle w:val="Sarakstarindkopa"/>
        <w:numPr>
          <w:ilvl w:val="1"/>
          <w:numId w:val="3"/>
        </w:numPr>
        <w:rPr>
          <w:bCs/>
          <w:szCs w:val="24"/>
        </w:rPr>
      </w:pPr>
      <w:r>
        <w:rPr>
          <w:bCs/>
          <w:szCs w:val="24"/>
        </w:rPr>
        <w:t>Pēc rezultātu apstiprināšanas, ir iespējams izveidot rezultātu apkopojumu:</w:t>
      </w:r>
    </w:p>
    <w:p w14:paraId="764C7F68" w14:textId="77AC91D1" w:rsidR="00290145" w:rsidRPr="00A345F1" w:rsidRDefault="00A345F1" w:rsidP="00A345F1">
      <w:pPr>
        <w:pStyle w:val="Sarakstarindkopa"/>
        <w:numPr>
          <w:ilvl w:val="2"/>
          <w:numId w:val="3"/>
        </w:numPr>
        <w:rPr>
          <w:bCs/>
          <w:szCs w:val="24"/>
        </w:rPr>
      </w:pPr>
      <w:r>
        <w:rPr>
          <w:bCs/>
          <w:szCs w:val="24"/>
        </w:rPr>
        <w:t>Izvēlas</w:t>
      </w:r>
      <w:r w:rsidR="00290145" w:rsidRPr="00A345F1">
        <w:rPr>
          <w:bCs/>
          <w:szCs w:val="24"/>
        </w:rPr>
        <w:t xml:space="preserve"> darbību “Veidot rezultātu apkopojumu”</w:t>
      </w:r>
      <w:r>
        <w:rPr>
          <w:bCs/>
          <w:szCs w:val="24"/>
        </w:rPr>
        <w:t>.</w:t>
      </w:r>
      <w:r w:rsidR="00290145" w:rsidRPr="00A345F1">
        <w:rPr>
          <w:bCs/>
          <w:szCs w:val="24"/>
        </w:rPr>
        <w:t xml:space="preserve"> </w:t>
      </w:r>
    </w:p>
    <w:p w14:paraId="2CFA18EE" w14:textId="1C0F9C90" w:rsidR="00A345F1" w:rsidRDefault="00A345F1" w:rsidP="00A345F1">
      <w:pPr>
        <w:pStyle w:val="Sarakstarindkopa"/>
        <w:ind w:left="1080"/>
        <w:rPr>
          <w:bCs/>
          <w:szCs w:val="24"/>
        </w:rPr>
      </w:pPr>
      <w:r>
        <w:rPr>
          <w:bCs/>
          <w:noProof/>
          <w:szCs w:val="24"/>
        </w:rPr>
        <w:lastRenderedPageBreak/>
        <w:drawing>
          <wp:inline distT="0" distB="0" distL="0" distR="0" wp14:anchorId="2BDF3516" wp14:editId="5EF29A20">
            <wp:extent cx="5270500" cy="1784350"/>
            <wp:effectExtent l="0" t="0" r="6350" b="635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0" cy="1784350"/>
                    </a:xfrm>
                    <a:prstGeom prst="rect">
                      <a:avLst/>
                    </a:prstGeom>
                    <a:noFill/>
                    <a:ln>
                      <a:noFill/>
                    </a:ln>
                  </pic:spPr>
                </pic:pic>
              </a:graphicData>
            </a:graphic>
          </wp:inline>
        </w:drawing>
      </w:r>
    </w:p>
    <w:p w14:paraId="0B6AE764" w14:textId="7BA743D0" w:rsidR="00A345F1" w:rsidRDefault="00A345F1" w:rsidP="00A345F1">
      <w:pPr>
        <w:pStyle w:val="Sarakstarindkopa"/>
        <w:numPr>
          <w:ilvl w:val="2"/>
          <w:numId w:val="3"/>
        </w:numPr>
        <w:rPr>
          <w:bCs/>
          <w:szCs w:val="24"/>
        </w:rPr>
      </w:pPr>
      <w:r>
        <w:rPr>
          <w:bCs/>
          <w:szCs w:val="24"/>
        </w:rPr>
        <w:t>Uznirstošajā logā “Posma rezultātu apkopojums” apstiprina darbību “Izveidot apkopojumu”.</w:t>
      </w:r>
      <w:r w:rsidR="00E72C08">
        <w:rPr>
          <w:bCs/>
          <w:szCs w:val="24"/>
        </w:rPr>
        <w:t xml:space="preserve"> </w:t>
      </w:r>
    </w:p>
    <w:p w14:paraId="6E64CE4C" w14:textId="6FD7C16D" w:rsidR="00E03DA4" w:rsidRPr="00CB2C09" w:rsidRDefault="008062CE" w:rsidP="008062CE">
      <w:pPr>
        <w:pStyle w:val="Sarakstarindkopa"/>
        <w:ind w:left="1080"/>
        <w:rPr>
          <w:bCs/>
          <w:szCs w:val="24"/>
        </w:rPr>
      </w:pPr>
      <w:r>
        <w:rPr>
          <w:bCs/>
          <w:szCs w:val="24"/>
        </w:rPr>
        <w:t xml:space="preserve"> </w:t>
      </w:r>
      <w:r w:rsidR="00A345F1">
        <w:rPr>
          <w:bCs/>
          <w:noProof/>
          <w:szCs w:val="24"/>
        </w:rPr>
        <w:drawing>
          <wp:inline distT="0" distB="0" distL="0" distR="0" wp14:anchorId="5A47CD9C" wp14:editId="5513B370">
            <wp:extent cx="5264150" cy="1155700"/>
            <wp:effectExtent l="0" t="0" r="0" b="635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64150" cy="1155700"/>
                    </a:xfrm>
                    <a:prstGeom prst="rect">
                      <a:avLst/>
                    </a:prstGeom>
                    <a:noFill/>
                    <a:ln>
                      <a:noFill/>
                    </a:ln>
                  </pic:spPr>
                </pic:pic>
              </a:graphicData>
            </a:graphic>
          </wp:inline>
        </w:drawing>
      </w:r>
    </w:p>
    <w:p w14:paraId="2DE7F923" w14:textId="5AE17354" w:rsidR="00526576" w:rsidRDefault="00E72C08" w:rsidP="00E72C08">
      <w:pPr>
        <w:pStyle w:val="Sarakstarindkopa"/>
        <w:numPr>
          <w:ilvl w:val="2"/>
          <w:numId w:val="3"/>
        </w:numPr>
        <w:rPr>
          <w:bCs/>
          <w:szCs w:val="24"/>
        </w:rPr>
      </w:pPr>
      <w:r>
        <w:rPr>
          <w:bCs/>
          <w:szCs w:val="24"/>
        </w:rPr>
        <w:t>Lai apskatītu uzģenerēto rezultātu apkopojumu, atkārtoti nospiež uz pogas “Veidot rezultātu apkopojumu”. Apkopojuma izveide aizņem vairākas sekundes.</w:t>
      </w:r>
    </w:p>
    <w:p w14:paraId="012ED1DA" w14:textId="7692EBBD" w:rsidR="00E72C08" w:rsidRDefault="00E72C08" w:rsidP="00E72C08">
      <w:pPr>
        <w:pStyle w:val="Sarakstarindkopa"/>
        <w:ind w:left="993"/>
        <w:rPr>
          <w:bCs/>
          <w:szCs w:val="24"/>
        </w:rPr>
      </w:pPr>
      <w:r>
        <w:rPr>
          <w:bCs/>
          <w:noProof/>
          <w:szCs w:val="24"/>
        </w:rPr>
        <w:drawing>
          <wp:inline distT="0" distB="0" distL="0" distR="0" wp14:anchorId="0784861D" wp14:editId="00052B7C">
            <wp:extent cx="5270500" cy="1784350"/>
            <wp:effectExtent l="0" t="0" r="6350" b="635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0" cy="1784350"/>
                    </a:xfrm>
                    <a:prstGeom prst="rect">
                      <a:avLst/>
                    </a:prstGeom>
                    <a:noFill/>
                    <a:ln>
                      <a:noFill/>
                    </a:ln>
                  </pic:spPr>
                </pic:pic>
              </a:graphicData>
            </a:graphic>
          </wp:inline>
        </w:drawing>
      </w:r>
    </w:p>
    <w:p w14:paraId="7D6A9D8E" w14:textId="5715811A" w:rsidR="00E72C08" w:rsidRDefault="00E72C08" w:rsidP="00E72C08">
      <w:pPr>
        <w:pStyle w:val="Sarakstarindkopa"/>
        <w:numPr>
          <w:ilvl w:val="2"/>
          <w:numId w:val="3"/>
        </w:numPr>
        <w:rPr>
          <w:bCs/>
          <w:szCs w:val="24"/>
        </w:rPr>
      </w:pPr>
      <w:r>
        <w:rPr>
          <w:bCs/>
          <w:szCs w:val="24"/>
        </w:rPr>
        <w:t xml:space="preserve">Uznirstošajā logā “Posma </w:t>
      </w:r>
      <w:r w:rsidR="00210FA6">
        <w:rPr>
          <w:bCs/>
          <w:szCs w:val="24"/>
        </w:rPr>
        <w:t>rezultātu apkopojums”</w:t>
      </w:r>
      <w:r w:rsidR="001A1BCF">
        <w:rPr>
          <w:bCs/>
          <w:szCs w:val="24"/>
        </w:rPr>
        <w:t xml:space="preserve"> izvēlas darbību “Lejupielādēt datni/ es”.</w:t>
      </w:r>
    </w:p>
    <w:p w14:paraId="79C0FA70" w14:textId="017CA969" w:rsidR="00210FA6" w:rsidRDefault="00210FA6" w:rsidP="00210FA6">
      <w:pPr>
        <w:ind w:left="993"/>
        <w:rPr>
          <w:bCs/>
          <w:szCs w:val="24"/>
        </w:rPr>
      </w:pPr>
      <w:r>
        <w:rPr>
          <w:bCs/>
          <w:noProof/>
          <w:szCs w:val="24"/>
        </w:rPr>
        <w:drawing>
          <wp:inline distT="0" distB="0" distL="0" distR="0" wp14:anchorId="6AC3A2C3" wp14:editId="5395C3CF">
            <wp:extent cx="5270500" cy="1778000"/>
            <wp:effectExtent l="0" t="0" r="6350"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70500" cy="1778000"/>
                    </a:xfrm>
                    <a:prstGeom prst="rect">
                      <a:avLst/>
                    </a:prstGeom>
                    <a:noFill/>
                    <a:ln>
                      <a:noFill/>
                    </a:ln>
                  </pic:spPr>
                </pic:pic>
              </a:graphicData>
            </a:graphic>
          </wp:inline>
        </w:drawing>
      </w:r>
    </w:p>
    <w:p w14:paraId="20F8690D" w14:textId="07BE6D7F" w:rsidR="0D916BFA" w:rsidRPr="006D3B03" w:rsidRDefault="001A1BCF" w:rsidP="5C847806">
      <w:pPr>
        <w:pStyle w:val="Sarakstarindkopa"/>
        <w:numPr>
          <w:ilvl w:val="2"/>
          <w:numId w:val="3"/>
        </w:numPr>
        <w:rPr>
          <w:bCs/>
          <w:szCs w:val="24"/>
        </w:rPr>
      </w:pPr>
      <w:r w:rsidRPr="006D3B03">
        <w:rPr>
          <w:bCs/>
          <w:szCs w:val="24"/>
        </w:rPr>
        <w:lastRenderedPageBreak/>
        <w:t xml:space="preserve">Izveidotajā rezultātu apkopojumā tiek </w:t>
      </w:r>
      <w:r w:rsidR="00CC588E" w:rsidRPr="006D3B03">
        <w:rPr>
          <w:bCs/>
          <w:szCs w:val="24"/>
        </w:rPr>
        <w:t>attēlotas devīzes, kur</w:t>
      </w:r>
      <w:r w:rsidR="56FC1970" w:rsidRPr="006D3B03">
        <w:rPr>
          <w:bCs/>
          <w:szCs w:val="24"/>
        </w:rPr>
        <w:t>as</w:t>
      </w:r>
      <w:r w:rsidR="00CC588E" w:rsidRPr="006D3B03">
        <w:rPr>
          <w:bCs/>
          <w:szCs w:val="24"/>
        </w:rPr>
        <w:t xml:space="preserve"> ir izvēlēt</w:t>
      </w:r>
      <w:r w:rsidR="75E2ECAF" w:rsidRPr="006D3B03">
        <w:rPr>
          <w:bCs/>
          <w:szCs w:val="24"/>
        </w:rPr>
        <w:t>as</w:t>
      </w:r>
      <w:r w:rsidR="00CC588E" w:rsidRPr="006D3B03">
        <w:rPr>
          <w:bCs/>
          <w:szCs w:val="24"/>
        </w:rPr>
        <w:t xml:space="preserve">, veicot darbību “Piešķirt godalgas”. </w:t>
      </w:r>
    </w:p>
    <w:p w14:paraId="0ECEDAA6" w14:textId="7B9676FE" w:rsidR="10B89BF1" w:rsidRDefault="10B89BF1" w:rsidP="15BAACA5">
      <w:pPr>
        <w:ind w:left="1080"/>
        <w:rPr>
          <w:szCs w:val="24"/>
        </w:rPr>
      </w:pPr>
      <w:r>
        <w:rPr>
          <w:noProof/>
        </w:rPr>
        <w:drawing>
          <wp:inline distT="0" distB="0" distL="0" distR="0" wp14:anchorId="13C5C9B5" wp14:editId="3E975433">
            <wp:extent cx="4572000" cy="952500"/>
            <wp:effectExtent l="0" t="0" r="0" b="0"/>
            <wp:docPr id="86527295" name="Picture 86527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572000" cy="952500"/>
                    </a:xfrm>
                    <a:prstGeom prst="rect">
                      <a:avLst/>
                    </a:prstGeom>
                  </pic:spPr>
                </pic:pic>
              </a:graphicData>
            </a:graphic>
          </wp:inline>
        </w:drawing>
      </w:r>
    </w:p>
    <w:p w14:paraId="3F0A6E60" w14:textId="3DD79E51" w:rsidR="00EA0B0F" w:rsidRDefault="00EA0B0F" w:rsidP="00EA0B0F">
      <w:pPr>
        <w:pStyle w:val="Sarakstarindkopa"/>
        <w:numPr>
          <w:ilvl w:val="1"/>
          <w:numId w:val="3"/>
        </w:numPr>
        <w:rPr>
          <w:bCs/>
          <w:szCs w:val="24"/>
        </w:rPr>
      </w:pPr>
      <w:r>
        <w:rPr>
          <w:bCs/>
          <w:szCs w:val="24"/>
        </w:rPr>
        <w:t xml:space="preserve">Pirms pogas “Ievadīt rezultātus” nospiešanas ir iespējams izbeigt iepirkumu, nospiežot pogu “Izbeigt iepirkumu”. Pēc pogas “Ievadīt rezultātus” </w:t>
      </w:r>
      <w:r w:rsidRPr="001D4687">
        <w:rPr>
          <w:bCs/>
          <w:szCs w:val="24"/>
        </w:rPr>
        <w:t>nos</w:t>
      </w:r>
      <w:r w:rsidR="001D4687" w:rsidRPr="001D4687">
        <w:rPr>
          <w:bCs/>
          <w:szCs w:val="24"/>
        </w:rPr>
        <w:t>p</w:t>
      </w:r>
      <w:r w:rsidRPr="001D4687">
        <w:rPr>
          <w:bCs/>
          <w:szCs w:val="24"/>
        </w:rPr>
        <w:t>iešanas</w:t>
      </w:r>
      <w:r>
        <w:rPr>
          <w:bCs/>
          <w:szCs w:val="24"/>
        </w:rPr>
        <w:t>, izbeigt iepirkumu nevarēs.</w:t>
      </w:r>
    </w:p>
    <w:p w14:paraId="75505E79" w14:textId="612CED57" w:rsidR="00EA0B0F" w:rsidRDefault="00EA0B0F" w:rsidP="00EA0B0F">
      <w:pPr>
        <w:pStyle w:val="Sarakstarindkopa"/>
        <w:ind w:left="1080"/>
        <w:rPr>
          <w:bCs/>
          <w:szCs w:val="24"/>
        </w:rPr>
      </w:pPr>
      <w:r>
        <w:rPr>
          <w:bCs/>
          <w:noProof/>
          <w:szCs w:val="24"/>
        </w:rPr>
        <w:drawing>
          <wp:inline distT="0" distB="0" distL="0" distR="0" wp14:anchorId="09755270" wp14:editId="23C8EC71">
            <wp:extent cx="5270500" cy="1422400"/>
            <wp:effectExtent l="0" t="0" r="6350" b="635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0" cy="1422400"/>
                    </a:xfrm>
                    <a:prstGeom prst="rect">
                      <a:avLst/>
                    </a:prstGeom>
                    <a:noFill/>
                    <a:ln>
                      <a:noFill/>
                    </a:ln>
                  </pic:spPr>
                </pic:pic>
              </a:graphicData>
            </a:graphic>
          </wp:inline>
        </w:drawing>
      </w:r>
    </w:p>
    <w:p w14:paraId="1399FA59" w14:textId="024A61FF" w:rsidR="00EA0B0F" w:rsidRDefault="00EA0B0F" w:rsidP="00EA0B0F">
      <w:pPr>
        <w:pStyle w:val="Sarakstarindkopa"/>
        <w:numPr>
          <w:ilvl w:val="2"/>
          <w:numId w:val="3"/>
        </w:numPr>
        <w:rPr>
          <w:bCs/>
          <w:szCs w:val="24"/>
        </w:rPr>
      </w:pPr>
      <w:r>
        <w:rPr>
          <w:bCs/>
          <w:szCs w:val="24"/>
        </w:rPr>
        <w:t>Pēc pogas “Izbeigt iepirkumu” nospiešanas, uznirstošajā logā “Izbeigt iepirkumu”, norāda izbeigšanas pamatojumu, žūrijas komisijas lēmumu un veic darbības apstiprināšanu, nospiežot pogu “Apstiprināt izbeigšanu”.</w:t>
      </w:r>
    </w:p>
    <w:p w14:paraId="04EF6DE0" w14:textId="5DF2367D" w:rsidR="00EA0B0F" w:rsidRDefault="00EA0B0F" w:rsidP="00EA0B0F">
      <w:pPr>
        <w:ind w:left="993"/>
        <w:rPr>
          <w:bCs/>
          <w:szCs w:val="24"/>
        </w:rPr>
      </w:pPr>
      <w:r>
        <w:rPr>
          <w:bCs/>
          <w:noProof/>
          <w:szCs w:val="24"/>
        </w:rPr>
        <w:drawing>
          <wp:inline distT="0" distB="0" distL="0" distR="0" wp14:anchorId="26547761" wp14:editId="67B67B76">
            <wp:extent cx="5270500" cy="1524000"/>
            <wp:effectExtent l="0" t="0" r="6350"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0" cy="1524000"/>
                    </a:xfrm>
                    <a:prstGeom prst="rect">
                      <a:avLst/>
                    </a:prstGeom>
                    <a:noFill/>
                    <a:ln>
                      <a:noFill/>
                    </a:ln>
                  </pic:spPr>
                </pic:pic>
              </a:graphicData>
            </a:graphic>
          </wp:inline>
        </w:drawing>
      </w:r>
    </w:p>
    <w:p w14:paraId="30215112" w14:textId="092FFC74" w:rsidR="00606A72" w:rsidRDefault="00606A72" w:rsidP="00EA0B0F">
      <w:pPr>
        <w:ind w:left="993"/>
        <w:rPr>
          <w:bCs/>
          <w:szCs w:val="24"/>
        </w:rPr>
      </w:pPr>
    </w:p>
    <w:p w14:paraId="10F4AA9C" w14:textId="5292E025" w:rsidR="00606A72" w:rsidRPr="00606A72" w:rsidRDefault="00606A72" w:rsidP="00606A72">
      <w:pPr>
        <w:pStyle w:val="Sarakstarindkopa"/>
        <w:numPr>
          <w:ilvl w:val="0"/>
          <w:numId w:val="1"/>
        </w:numPr>
        <w:jc w:val="center"/>
        <w:rPr>
          <w:b/>
          <w:szCs w:val="24"/>
        </w:rPr>
      </w:pPr>
      <w:r w:rsidRPr="00606A72">
        <w:rPr>
          <w:b/>
          <w:szCs w:val="24"/>
        </w:rPr>
        <w:t>Devīzes atvēršana</w:t>
      </w:r>
    </w:p>
    <w:p w14:paraId="67ADD756" w14:textId="77777777" w:rsidR="00606A72" w:rsidRDefault="00606A72" w:rsidP="00606A72">
      <w:pPr>
        <w:pStyle w:val="Sarakstarindkopa"/>
        <w:ind w:left="1080"/>
        <w:rPr>
          <w:bCs/>
          <w:szCs w:val="24"/>
        </w:rPr>
      </w:pPr>
    </w:p>
    <w:p w14:paraId="65473069" w14:textId="750F2C04" w:rsidR="00CC3C66" w:rsidRDefault="00606A72" w:rsidP="383FCB85">
      <w:pPr>
        <w:pStyle w:val="Sarakstarindkopa"/>
        <w:numPr>
          <w:ilvl w:val="1"/>
          <w:numId w:val="4"/>
        </w:numPr>
      </w:pPr>
      <w:r>
        <w:t>Pēc</w:t>
      </w:r>
      <w:r w:rsidRPr="5C847806">
        <w:rPr>
          <w:szCs w:val="24"/>
        </w:rPr>
        <w:t xml:space="preserve"> šķirklī </w:t>
      </w:r>
      <w:r w:rsidR="72004A87" w:rsidRPr="5C847806">
        <w:rPr>
          <w:szCs w:val="24"/>
        </w:rPr>
        <w:t xml:space="preserve">“Vērtēšana” </w:t>
      </w:r>
      <w:r w:rsidRPr="5C847806">
        <w:rPr>
          <w:szCs w:val="24"/>
        </w:rPr>
        <w:t>darbības “Apstiprināt rezult</w:t>
      </w:r>
      <w:r>
        <w:t xml:space="preserve">ātus” veikšanas, atbildīgajam sekretāram </w:t>
      </w:r>
      <w:r w:rsidR="009E145E">
        <w:t>ir iespējams atvērt devīzes, nospiežot pogu “Atvērt devīzes”.</w:t>
      </w:r>
    </w:p>
    <w:p w14:paraId="77DE700D" w14:textId="124432F3" w:rsidR="00CC3C66" w:rsidRDefault="00CC3C66" w:rsidP="5C847806">
      <w:pPr>
        <w:ind w:left="720"/>
        <w:rPr>
          <w:szCs w:val="24"/>
        </w:rPr>
      </w:pPr>
      <w:r>
        <w:lastRenderedPageBreak/>
        <w:t xml:space="preserve"> </w:t>
      </w:r>
      <w:r>
        <w:rPr>
          <w:noProof/>
        </w:rPr>
        <w:drawing>
          <wp:inline distT="0" distB="0" distL="0" distR="0" wp14:anchorId="21439BC2" wp14:editId="3B5C90B5">
            <wp:extent cx="5270501" cy="1778000"/>
            <wp:effectExtent l="0" t="0" r="635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2"/>
                    <pic:cNvPicPr/>
                  </pic:nvPicPr>
                  <pic:blipFill>
                    <a:blip r:embed="rId28">
                      <a:extLst>
                        <a:ext uri="{28A0092B-C50C-407E-A947-70E740481C1C}">
                          <a14:useLocalDpi xmlns:a14="http://schemas.microsoft.com/office/drawing/2010/main" val="0"/>
                        </a:ext>
                      </a:extLst>
                    </a:blip>
                    <a:stretch>
                      <a:fillRect/>
                    </a:stretch>
                  </pic:blipFill>
                  <pic:spPr>
                    <a:xfrm>
                      <a:off x="0" y="0"/>
                      <a:ext cx="5270501" cy="1778000"/>
                    </a:xfrm>
                    <a:prstGeom prst="rect">
                      <a:avLst/>
                    </a:prstGeom>
                  </pic:spPr>
                </pic:pic>
              </a:graphicData>
            </a:graphic>
          </wp:inline>
        </w:drawing>
      </w:r>
    </w:p>
    <w:p w14:paraId="66AF94EF" w14:textId="7C86D1B9" w:rsidR="00094B4F" w:rsidRDefault="00094B4F" w:rsidP="00FD2AF0">
      <w:pPr>
        <w:pStyle w:val="Sarakstarindkopa"/>
        <w:numPr>
          <w:ilvl w:val="1"/>
          <w:numId w:val="4"/>
        </w:numPr>
      </w:pPr>
      <w:r>
        <w:t>Devīzes atvēršanu ir iespējams veikt arī šķirklī “Pamatdati”, nospiežot pogu “Atvērt devīzes”.</w:t>
      </w:r>
    </w:p>
    <w:p w14:paraId="5BC513A1" w14:textId="20D783E3" w:rsidR="00094B4F" w:rsidRPr="00094B4F" w:rsidRDefault="00094B4F" w:rsidP="00094B4F">
      <w:pPr>
        <w:ind w:left="1134"/>
        <w:rPr>
          <w:bCs/>
          <w:szCs w:val="24"/>
        </w:rPr>
      </w:pPr>
      <w:r>
        <w:rPr>
          <w:bCs/>
          <w:noProof/>
          <w:szCs w:val="24"/>
        </w:rPr>
        <w:drawing>
          <wp:inline distT="0" distB="0" distL="0" distR="0" wp14:anchorId="3A03CF6F" wp14:editId="5424BF9B">
            <wp:extent cx="5270500" cy="3232150"/>
            <wp:effectExtent l="0" t="0" r="6350" b="635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0" cy="3232150"/>
                    </a:xfrm>
                    <a:prstGeom prst="rect">
                      <a:avLst/>
                    </a:prstGeom>
                    <a:noFill/>
                    <a:ln>
                      <a:noFill/>
                    </a:ln>
                  </pic:spPr>
                </pic:pic>
              </a:graphicData>
            </a:graphic>
          </wp:inline>
        </w:drawing>
      </w:r>
    </w:p>
    <w:p w14:paraId="27184F82" w14:textId="1EA0FC5C" w:rsidR="00CC3C66" w:rsidRDefault="00CC3C66" w:rsidP="5C847806">
      <w:pPr>
        <w:pStyle w:val="Sarakstarindkopa"/>
        <w:numPr>
          <w:ilvl w:val="1"/>
          <w:numId w:val="4"/>
        </w:numPr>
      </w:pPr>
      <w:r>
        <w:t>Uznirstošajā logā “Sistēmas brīdinājums” ir jāveic atzīme pie lauka “Apzinos, ka šī darbība ir neatgriezeniska</w:t>
      </w:r>
      <w:r w:rsidR="00094B4F">
        <w:t xml:space="preserve">” un </w:t>
      </w:r>
      <w:r w:rsidR="009415BF">
        <w:t>jā</w:t>
      </w:r>
      <w:r w:rsidR="00094B4F">
        <w:t>nospiež pog</w:t>
      </w:r>
      <w:r w:rsidR="00F32D62">
        <w:t>a</w:t>
      </w:r>
      <w:r w:rsidR="00094B4F">
        <w:t xml:space="preserve"> “Turpināt”.</w:t>
      </w:r>
    </w:p>
    <w:p w14:paraId="28C28E35" w14:textId="06EB687F" w:rsidR="00CC3C66" w:rsidRDefault="00CC3C66" w:rsidP="00CC3C66">
      <w:pPr>
        <w:ind w:left="993"/>
        <w:rPr>
          <w:bCs/>
          <w:szCs w:val="24"/>
        </w:rPr>
      </w:pPr>
      <w:r>
        <w:rPr>
          <w:bCs/>
          <w:noProof/>
          <w:szCs w:val="24"/>
        </w:rPr>
        <w:drawing>
          <wp:inline distT="0" distB="0" distL="0" distR="0" wp14:anchorId="2D8C52E3" wp14:editId="78A8FE15">
            <wp:extent cx="5270500" cy="1816100"/>
            <wp:effectExtent l="0" t="0" r="6350" b="0"/>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0" cy="1816100"/>
                    </a:xfrm>
                    <a:prstGeom prst="rect">
                      <a:avLst/>
                    </a:prstGeom>
                    <a:noFill/>
                    <a:ln>
                      <a:noFill/>
                    </a:ln>
                  </pic:spPr>
                </pic:pic>
              </a:graphicData>
            </a:graphic>
          </wp:inline>
        </w:drawing>
      </w:r>
    </w:p>
    <w:p w14:paraId="10147920" w14:textId="640CFC90" w:rsidR="00094B4F" w:rsidRDefault="00094B4F" w:rsidP="5C847806">
      <w:pPr>
        <w:pStyle w:val="Sarakstarindkopa"/>
        <w:numPr>
          <w:ilvl w:val="1"/>
          <w:numId w:val="4"/>
        </w:numPr>
      </w:pPr>
      <w:r>
        <w:lastRenderedPageBreak/>
        <w:t xml:space="preserve">Pēc devīžu atvēršanas pasūtītājam ir </w:t>
      </w:r>
      <w:r w:rsidR="00C11C17">
        <w:t xml:space="preserve">iespējams piekļūt </w:t>
      </w:r>
      <w:r w:rsidR="00B82D74">
        <w:t>konkrētā pretendenta datiem</w:t>
      </w:r>
      <w:r w:rsidR="00364411">
        <w:t xml:space="preserve">, kuri ir pieejami šķirkļa “Pretendents” izvēršamajos blokos </w:t>
      </w:r>
      <w:r w:rsidR="00051075">
        <w:t>“Informācija par pretendentu un personu apvienību”, “</w:t>
      </w:r>
      <w:r w:rsidR="00DC2822">
        <w:t xml:space="preserve">Informācija par pretendentu / personu apvienības/ pilnsabiedrības dalībniekiem”, “Informācija par piedāvājuma parakstītājiem” un “Informācija par piedāvājuma iesniedzēju”. </w:t>
      </w:r>
    </w:p>
    <w:p w14:paraId="61421B31" w14:textId="77777777" w:rsidR="00DC2822" w:rsidRPr="00DC2822" w:rsidRDefault="00DC2822" w:rsidP="00DC2822">
      <w:pPr>
        <w:ind w:left="1080"/>
        <w:rPr>
          <w:bCs/>
          <w:szCs w:val="24"/>
        </w:rPr>
      </w:pPr>
    </w:p>
    <w:p w14:paraId="7985BE81" w14:textId="0A1273D7" w:rsidR="00B82D74" w:rsidRDefault="00364411" w:rsidP="00B82D74">
      <w:pPr>
        <w:ind w:left="1080"/>
        <w:rPr>
          <w:bCs/>
          <w:szCs w:val="24"/>
        </w:rPr>
      </w:pPr>
      <w:r>
        <w:rPr>
          <w:bCs/>
          <w:noProof/>
          <w:szCs w:val="24"/>
        </w:rPr>
        <w:drawing>
          <wp:inline distT="0" distB="0" distL="0" distR="0" wp14:anchorId="45F08E0E" wp14:editId="0FCF7EE6">
            <wp:extent cx="5270500" cy="2209800"/>
            <wp:effectExtent l="0" t="0" r="6350" b="0"/>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0" cy="2209800"/>
                    </a:xfrm>
                    <a:prstGeom prst="rect">
                      <a:avLst/>
                    </a:prstGeom>
                    <a:noFill/>
                    <a:ln>
                      <a:noFill/>
                    </a:ln>
                  </pic:spPr>
                </pic:pic>
              </a:graphicData>
            </a:graphic>
          </wp:inline>
        </w:drawing>
      </w:r>
    </w:p>
    <w:p w14:paraId="00F2A600" w14:textId="6525E9FD" w:rsidR="00DC2822" w:rsidRDefault="00DC2822" w:rsidP="5C847806">
      <w:pPr>
        <w:pStyle w:val="Sarakstarindkopa"/>
        <w:numPr>
          <w:ilvl w:val="1"/>
          <w:numId w:val="4"/>
        </w:numPr>
      </w:pPr>
      <w:r>
        <w:t>Pēc metu atvēršanas, šķirkļa “Pamatdati” izvēršamā bloka laukā “Devīzes” tiek attēlots devīzes atvēršanas laiks.</w:t>
      </w:r>
    </w:p>
    <w:p w14:paraId="7A8E7961" w14:textId="4D6B00BD" w:rsidR="00DC2822" w:rsidRDefault="00DC2822" w:rsidP="00DC2822">
      <w:pPr>
        <w:ind w:left="1080"/>
        <w:rPr>
          <w:bCs/>
          <w:szCs w:val="24"/>
        </w:rPr>
      </w:pPr>
      <w:r>
        <w:rPr>
          <w:bCs/>
          <w:noProof/>
          <w:szCs w:val="24"/>
        </w:rPr>
        <w:drawing>
          <wp:inline distT="0" distB="0" distL="0" distR="0" wp14:anchorId="239D4AF2" wp14:editId="70B26C60">
            <wp:extent cx="4991100" cy="2609850"/>
            <wp:effectExtent l="0" t="0" r="0"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91100" cy="2609850"/>
                    </a:xfrm>
                    <a:prstGeom prst="rect">
                      <a:avLst/>
                    </a:prstGeom>
                    <a:noFill/>
                    <a:ln>
                      <a:noFill/>
                    </a:ln>
                  </pic:spPr>
                </pic:pic>
              </a:graphicData>
            </a:graphic>
          </wp:inline>
        </w:drawing>
      </w:r>
    </w:p>
    <w:p w14:paraId="1D084467" w14:textId="63288014" w:rsidR="00DC2822" w:rsidRDefault="00DC2822" w:rsidP="00DC2822">
      <w:pPr>
        <w:pStyle w:val="Sarakstarindkopa"/>
        <w:numPr>
          <w:ilvl w:val="1"/>
          <w:numId w:val="4"/>
        </w:numPr>
      </w:pPr>
      <w:r>
        <w:t xml:space="preserve">Pēc devīzes atvēršanas nekādas izmaiņas metu konkursa vērtēšanā </w:t>
      </w:r>
      <w:r w:rsidR="0C5DC575">
        <w:t>veikt</w:t>
      </w:r>
      <w:r>
        <w:t xml:space="preserve"> nav iespējams.</w:t>
      </w:r>
      <w:r w:rsidR="00B114F3">
        <w:t xml:space="preserve"> Pasūtītājam ir iespējas</w:t>
      </w:r>
      <w:r w:rsidR="00AA6D21">
        <w:t xml:space="preserve"> tikai</w:t>
      </w:r>
      <w:r w:rsidR="00B114F3">
        <w:t xml:space="preserve"> </w:t>
      </w:r>
      <w:r w:rsidR="00AA6D21">
        <w:t>pārtraukt iepirkumu.</w:t>
      </w:r>
    </w:p>
    <w:p w14:paraId="6E9308F0" w14:textId="51FEEF41" w:rsidR="00DC2822" w:rsidRDefault="00CA6369" w:rsidP="00A41866">
      <w:pPr>
        <w:pStyle w:val="Sarakstarindkopa"/>
        <w:numPr>
          <w:ilvl w:val="1"/>
          <w:numId w:val="4"/>
        </w:numPr>
      </w:pPr>
      <w:r>
        <w:t>Š</w:t>
      </w:r>
      <w:r w:rsidR="00A41866">
        <w:t xml:space="preserve">ķirklī “Vērtēšana”, izvēloties darbību “Veidot rezultātu apkopojumu”, </w:t>
      </w:r>
      <w:r w:rsidR="00A41866" w:rsidRPr="003E2D20">
        <w:t>pēc rezultātu apkopojuma izveides</w:t>
      </w:r>
      <w:r w:rsidR="00A41866">
        <w:t xml:space="preserve"> datnē tiek attēlotas devīzes un pretendenta nosaukums.</w:t>
      </w:r>
    </w:p>
    <w:p w14:paraId="0CE19935" w14:textId="1C7EFA31" w:rsidR="27AA9B6C" w:rsidRDefault="27AA9B6C" w:rsidP="15BAACA5">
      <w:pPr>
        <w:ind w:left="720"/>
        <w:rPr>
          <w:szCs w:val="24"/>
        </w:rPr>
      </w:pPr>
      <w:r>
        <w:rPr>
          <w:noProof/>
        </w:rPr>
        <w:lastRenderedPageBreak/>
        <w:drawing>
          <wp:inline distT="0" distB="0" distL="0" distR="0" wp14:anchorId="65D4CA4C" wp14:editId="79E2428A">
            <wp:extent cx="4572000" cy="771525"/>
            <wp:effectExtent l="0" t="0" r="0" b="0"/>
            <wp:docPr id="937814257" name="Picture 93781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572000" cy="771525"/>
                    </a:xfrm>
                    <a:prstGeom prst="rect">
                      <a:avLst/>
                    </a:prstGeom>
                  </pic:spPr>
                </pic:pic>
              </a:graphicData>
            </a:graphic>
          </wp:inline>
        </w:drawing>
      </w:r>
    </w:p>
    <w:p w14:paraId="1E8910B0" w14:textId="44DDD393" w:rsidR="00A41866" w:rsidRPr="00C511AA" w:rsidRDefault="00A41866" w:rsidP="00C511AA">
      <w:pPr>
        <w:ind w:left="1080"/>
        <w:rPr>
          <w:bCs/>
          <w:szCs w:val="24"/>
        </w:rPr>
      </w:pPr>
    </w:p>
    <w:sectPr w:rsidR="00A41866" w:rsidRPr="00C511AA">
      <w:footerReference w:type="default" r:id="rId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D573C" w14:textId="77777777" w:rsidR="00B773EB" w:rsidRDefault="00B773EB" w:rsidP="00661BE1">
      <w:pPr>
        <w:spacing w:before="0" w:line="240" w:lineRule="auto"/>
      </w:pPr>
      <w:r>
        <w:separator/>
      </w:r>
    </w:p>
  </w:endnote>
  <w:endnote w:type="continuationSeparator" w:id="0">
    <w:p w14:paraId="404CEECE" w14:textId="77777777" w:rsidR="00B773EB" w:rsidRDefault="00B773EB" w:rsidP="00661BE1">
      <w:pPr>
        <w:spacing w:before="0" w:line="240" w:lineRule="auto"/>
      </w:pPr>
      <w:r>
        <w:continuationSeparator/>
      </w:r>
    </w:p>
  </w:endnote>
  <w:endnote w:type="continuationNotice" w:id="1">
    <w:p w14:paraId="4EAF7476" w14:textId="77777777" w:rsidR="00B773EB" w:rsidRDefault="00B773E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576897"/>
      <w:docPartObj>
        <w:docPartGallery w:val="Page Numbers (Bottom of Page)"/>
        <w:docPartUnique/>
      </w:docPartObj>
    </w:sdtPr>
    <w:sdtEndPr/>
    <w:sdtContent>
      <w:p w14:paraId="52116290" w14:textId="74534412" w:rsidR="00661BE1" w:rsidRDefault="00661BE1">
        <w:pPr>
          <w:pStyle w:val="Kjene"/>
          <w:jc w:val="right"/>
        </w:pPr>
        <w:r>
          <w:fldChar w:fldCharType="begin"/>
        </w:r>
        <w:r>
          <w:instrText>PAGE   \* MERGEFORMAT</w:instrText>
        </w:r>
        <w:r>
          <w:fldChar w:fldCharType="separate"/>
        </w:r>
        <w:r>
          <w:t>2</w:t>
        </w:r>
        <w:r>
          <w:fldChar w:fldCharType="end"/>
        </w:r>
      </w:p>
    </w:sdtContent>
  </w:sdt>
  <w:p w14:paraId="538D6F8B" w14:textId="77777777" w:rsidR="00661BE1" w:rsidRDefault="00661BE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F8091" w14:textId="77777777" w:rsidR="00B773EB" w:rsidRDefault="00B773EB" w:rsidP="00661BE1">
      <w:pPr>
        <w:spacing w:before="0" w:line="240" w:lineRule="auto"/>
      </w:pPr>
      <w:r>
        <w:separator/>
      </w:r>
    </w:p>
  </w:footnote>
  <w:footnote w:type="continuationSeparator" w:id="0">
    <w:p w14:paraId="4553CD12" w14:textId="77777777" w:rsidR="00B773EB" w:rsidRDefault="00B773EB" w:rsidP="00661BE1">
      <w:pPr>
        <w:spacing w:before="0" w:line="240" w:lineRule="auto"/>
      </w:pPr>
      <w:r>
        <w:continuationSeparator/>
      </w:r>
    </w:p>
  </w:footnote>
  <w:footnote w:type="continuationNotice" w:id="1">
    <w:p w14:paraId="000CDC23" w14:textId="77777777" w:rsidR="00B773EB" w:rsidRDefault="00B773EB">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016F0"/>
    <w:multiLevelType w:val="multilevel"/>
    <w:tmpl w:val="59161D0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BC912DE"/>
    <w:multiLevelType w:val="multilevel"/>
    <w:tmpl w:val="1396CEE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A30466"/>
    <w:multiLevelType w:val="multilevel"/>
    <w:tmpl w:val="CC00CF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A3528B3"/>
    <w:multiLevelType w:val="multilevel"/>
    <w:tmpl w:val="1D9433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9B"/>
    <w:rsid w:val="00011710"/>
    <w:rsid w:val="0001396B"/>
    <w:rsid w:val="000206F4"/>
    <w:rsid w:val="00020DDE"/>
    <w:rsid w:val="00046238"/>
    <w:rsid w:val="00051075"/>
    <w:rsid w:val="00094B4F"/>
    <w:rsid w:val="001315C1"/>
    <w:rsid w:val="001534F0"/>
    <w:rsid w:val="00160940"/>
    <w:rsid w:val="001623BF"/>
    <w:rsid w:val="0017158A"/>
    <w:rsid w:val="001A1BCF"/>
    <w:rsid w:val="001B45C2"/>
    <w:rsid w:val="001C60DD"/>
    <w:rsid w:val="001D0069"/>
    <w:rsid w:val="001D4687"/>
    <w:rsid w:val="001E0A26"/>
    <w:rsid w:val="001E3594"/>
    <w:rsid w:val="001E48BA"/>
    <w:rsid w:val="00210FA6"/>
    <w:rsid w:val="002351F2"/>
    <w:rsid w:val="00257858"/>
    <w:rsid w:val="00274B07"/>
    <w:rsid w:val="00290145"/>
    <w:rsid w:val="00296835"/>
    <w:rsid w:val="002C3450"/>
    <w:rsid w:val="002F7A1F"/>
    <w:rsid w:val="00303C40"/>
    <w:rsid w:val="00344C16"/>
    <w:rsid w:val="00352CC1"/>
    <w:rsid w:val="003544A4"/>
    <w:rsid w:val="00354C40"/>
    <w:rsid w:val="003606AF"/>
    <w:rsid w:val="00364411"/>
    <w:rsid w:val="00382D6F"/>
    <w:rsid w:val="003A185D"/>
    <w:rsid w:val="003A3F12"/>
    <w:rsid w:val="003C621D"/>
    <w:rsid w:val="003E2D20"/>
    <w:rsid w:val="003F2565"/>
    <w:rsid w:val="003F4A8B"/>
    <w:rsid w:val="00403486"/>
    <w:rsid w:val="00410633"/>
    <w:rsid w:val="004A7FAB"/>
    <w:rsid w:val="004C0190"/>
    <w:rsid w:val="004F21F9"/>
    <w:rsid w:val="00526576"/>
    <w:rsid w:val="00547561"/>
    <w:rsid w:val="00584F83"/>
    <w:rsid w:val="005F4A5F"/>
    <w:rsid w:val="00606A72"/>
    <w:rsid w:val="00622B92"/>
    <w:rsid w:val="00661BE1"/>
    <w:rsid w:val="006626E3"/>
    <w:rsid w:val="00664C80"/>
    <w:rsid w:val="00695583"/>
    <w:rsid w:val="006A60A4"/>
    <w:rsid w:val="006B1661"/>
    <w:rsid w:val="006D3B03"/>
    <w:rsid w:val="00710DAE"/>
    <w:rsid w:val="007733B4"/>
    <w:rsid w:val="00791B9F"/>
    <w:rsid w:val="007C322A"/>
    <w:rsid w:val="007E3F90"/>
    <w:rsid w:val="008062CE"/>
    <w:rsid w:val="00810A36"/>
    <w:rsid w:val="0081586A"/>
    <w:rsid w:val="00833F87"/>
    <w:rsid w:val="00860309"/>
    <w:rsid w:val="00887AE0"/>
    <w:rsid w:val="00893FAC"/>
    <w:rsid w:val="008B59AD"/>
    <w:rsid w:val="008B5E65"/>
    <w:rsid w:val="008D3A76"/>
    <w:rsid w:val="008D5537"/>
    <w:rsid w:val="008D6BB1"/>
    <w:rsid w:val="0093463A"/>
    <w:rsid w:val="0094099B"/>
    <w:rsid w:val="009415BF"/>
    <w:rsid w:val="009461E4"/>
    <w:rsid w:val="00964A9E"/>
    <w:rsid w:val="00991169"/>
    <w:rsid w:val="00994D66"/>
    <w:rsid w:val="009A6585"/>
    <w:rsid w:val="009E145E"/>
    <w:rsid w:val="009F256F"/>
    <w:rsid w:val="009F4CCE"/>
    <w:rsid w:val="00A06185"/>
    <w:rsid w:val="00A22654"/>
    <w:rsid w:val="00A34179"/>
    <w:rsid w:val="00A345F1"/>
    <w:rsid w:val="00A41866"/>
    <w:rsid w:val="00A45E8E"/>
    <w:rsid w:val="00A72B3B"/>
    <w:rsid w:val="00A87D8E"/>
    <w:rsid w:val="00AA6D21"/>
    <w:rsid w:val="00AE2BDD"/>
    <w:rsid w:val="00AF7026"/>
    <w:rsid w:val="00B04A61"/>
    <w:rsid w:val="00B114F3"/>
    <w:rsid w:val="00B45389"/>
    <w:rsid w:val="00B56A12"/>
    <w:rsid w:val="00B62EC8"/>
    <w:rsid w:val="00B7594D"/>
    <w:rsid w:val="00B76B97"/>
    <w:rsid w:val="00B772D2"/>
    <w:rsid w:val="00B773EB"/>
    <w:rsid w:val="00B77C37"/>
    <w:rsid w:val="00B809BD"/>
    <w:rsid w:val="00B82D74"/>
    <w:rsid w:val="00BA30DC"/>
    <w:rsid w:val="00BF4CA6"/>
    <w:rsid w:val="00C11C17"/>
    <w:rsid w:val="00C154FA"/>
    <w:rsid w:val="00C27BCB"/>
    <w:rsid w:val="00C33536"/>
    <w:rsid w:val="00C511AA"/>
    <w:rsid w:val="00C70AD6"/>
    <w:rsid w:val="00C92709"/>
    <w:rsid w:val="00CA6369"/>
    <w:rsid w:val="00CB1069"/>
    <w:rsid w:val="00CB2C09"/>
    <w:rsid w:val="00CB60A6"/>
    <w:rsid w:val="00CC3C66"/>
    <w:rsid w:val="00CC588E"/>
    <w:rsid w:val="00CF3219"/>
    <w:rsid w:val="00CF5EB8"/>
    <w:rsid w:val="00D30BF0"/>
    <w:rsid w:val="00D53EE6"/>
    <w:rsid w:val="00D55549"/>
    <w:rsid w:val="00D56B4B"/>
    <w:rsid w:val="00D80D09"/>
    <w:rsid w:val="00D854B7"/>
    <w:rsid w:val="00D90981"/>
    <w:rsid w:val="00D979D1"/>
    <w:rsid w:val="00DA3612"/>
    <w:rsid w:val="00DB01EB"/>
    <w:rsid w:val="00DB68FC"/>
    <w:rsid w:val="00DC2822"/>
    <w:rsid w:val="00DF1473"/>
    <w:rsid w:val="00DF303F"/>
    <w:rsid w:val="00E037E7"/>
    <w:rsid w:val="00E03DA4"/>
    <w:rsid w:val="00E124E8"/>
    <w:rsid w:val="00E40F26"/>
    <w:rsid w:val="00E63439"/>
    <w:rsid w:val="00E668BA"/>
    <w:rsid w:val="00E72C08"/>
    <w:rsid w:val="00E85A1C"/>
    <w:rsid w:val="00E87CEE"/>
    <w:rsid w:val="00E955DD"/>
    <w:rsid w:val="00EA0B0F"/>
    <w:rsid w:val="00EE39CD"/>
    <w:rsid w:val="00EE3D2A"/>
    <w:rsid w:val="00F11BF7"/>
    <w:rsid w:val="00F15DE9"/>
    <w:rsid w:val="00F16FA3"/>
    <w:rsid w:val="00F2009B"/>
    <w:rsid w:val="00F21616"/>
    <w:rsid w:val="00F32D62"/>
    <w:rsid w:val="00F649FF"/>
    <w:rsid w:val="00F7757D"/>
    <w:rsid w:val="00FA240A"/>
    <w:rsid w:val="00FD2AF0"/>
    <w:rsid w:val="00FE328F"/>
    <w:rsid w:val="0291BB4B"/>
    <w:rsid w:val="03F8AD4B"/>
    <w:rsid w:val="04B34B06"/>
    <w:rsid w:val="0C5DC575"/>
    <w:rsid w:val="0D916BFA"/>
    <w:rsid w:val="0F303556"/>
    <w:rsid w:val="0F45B8CD"/>
    <w:rsid w:val="10B89BF1"/>
    <w:rsid w:val="10D1087D"/>
    <w:rsid w:val="1228F94D"/>
    <w:rsid w:val="143569F7"/>
    <w:rsid w:val="14E94C05"/>
    <w:rsid w:val="15BAACA5"/>
    <w:rsid w:val="169AFF2E"/>
    <w:rsid w:val="19E40F00"/>
    <w:rsid w:val="1B0EA314"/>
    <w:rsid w:val="212D3C75"/>
    <w:rsid w:val="2195630A"/>
    <w:rsid w:val="21C9E639"/>
    <w:rsid w:val="27A9AB34"/>
    <w:rsid w:val="27AA9B6C"/>
    <w:rsid w:val="2942EAE4"/>
    <w:rsid w:val="2C251B0D"/>
    <w:rsid w:val="37548C57"/>
    <w:rsid w:val="383FCB85"/>
    <w:rsid w:val="39999E4C"/>
    <w:rsid w:val="3A6167F3"/>
    <w:rsid w:val="3AB0E53A"/>
    <w:rsid w:val="3FC3069E"/>
    <w:rsid w:val="47EBB4FE"/>
    <w:rsid w:val="498689D5"/>
    <w:rsid w:val="4C1908C3"/>
    <w:rsid w:val="4D7644E7"/>
    <w:rsid w:val="508A7558"/>
    <w:rsid w:val="55BD8D29"/>
    <w:rsid w:val="56FC1970"/>
    <w:rsid w:val="5B40F940"/>
    <w:rsid w:val="5BAFA808"/>
    <w:rsid w:val="5C847806"/>
    <w:rsid w:val="5CA8A09A"/>
    <w:rsid w:val="660BABC6"/>
    <w:rsid w:val="6AB739FC"/>
    <w:rsid w:val="6BC59B78"/>
    <w:rsid w:val="6CB8F74D"/>
    <w:rsid w:val="72004A87"/>
    <w:rsid w:val="75E2ECAF"/>
    <w:rsid w:val="77B14B6F"/>
    <w:rsid w:val="7893AB7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EBDB2"/>
  <w15:chartTrackingRefBased/>
  <w15:docId w15:val="{15EBA86E-035F-44F1-992B-0786513E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586A"/>
    <w:pPr>
      <w:spacing w:before="120" w:after="0" w:line="288" w:lineRule="auto"/>
      <w:contextualSpacing/>
      <w:jc w:val="both"/>
    </w:pPr>
    <w:rPr>
      <w:rFonts w:ascii="Times New Roman"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27BCB"/>
    <w:pPr>
      <w:ind w:left="720"/>
    </w:pPr>
  </w:style>
  <w:style w:type="paragraph" w:styleId="Galvene">
    <w:name w:val="header"/>
    <w:basedOn w:val="Parasts"/>
    <w:link w:val="GalveneRakstz"/>
    <w:uiPriority w:val="99"/>
    <w:unhideWhenUsed/>
    <w:rsid w:val="00661BE1"/>
    <w:pPr>
      <w:tabs>
        <w:tab w:val="center" w:pos="4153"/>
        <w:tab w:val="right" w:pos="8306"/>
      </w:tabs>
      <w:spacing w:before="0" w:line="240" w:lineRule="auto"/>
    </w:pPr>
  </w:style>
  <w:style w:type="character" w:customStyle="1" w:styleId="GalveneRakstz">
    <w:name w:val="Galvene Rakstz."/>
    <w:basedOn w:val="Noklusjumarindkopasfonts"/>
    <w:link w:val="Galvene"/>
    <w:uiPriority w:val="99"/>
    <w:rsid w:val="00661BE1"/>
    <w:rPr>
      <w:rFonts w:ascii="Times New Roman" w:hAnsi="Times New Roman" w:cs="Times New Roman"/>
      <w:sz w:val="24"/>
    </w:rPr>
  </w:style>
  <w:style w:type="paragraph" w:styleId="Kjene">
    <w:name w:val="footer"/>
    <w:basedOn w:val="Parasts"/>
    <w:link w:val="KjeneRakstz"/>
    <w:uiPriority w:val="99"/>
    <w:unhideWhenUsed/>
    <w:rsid w:val="00661BE1"/>
    <w:pPr>
      <w:tabs>
        <w:tab w:val="center" w:pos="4153"/>
        <w:tab w:val="right" w:pos="8306"/>
      </w:tabs>
      <w:spacing w:before="0" w:line="240" w:lineRule="auto"/>
    </w:pPr>
  </w:style>
  <w:style w:type="character" w:customStyle="1" w:styleId="KjeneRakstz">
    <w:name w:val="Kājene Rakstz."/>
    <w:basedOn w:val="Noklusjumarindkopasfonts"/>
    <w:link w:val="Kjene"/>
    <w:uiPriority w:val="99"/>
    <w:rsid w:val="00661BE1"/>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2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8FCE9C842FE7240B8E2EF7B100751B2" ma:contentTypeVersion="12" ma:contentTypeDescription="Izveidot jaunu dokumentu." ma:contentTypeScope="" ma:versionID="b8bc18dac27a8f8e096a259f3ad6892d">
  <xsd:schema xmlns:xsd="http://www.w3.org/2001/XMLSchema" xmlns:xs="http://www.w3.org/2001/XMLSchema" xmlns:p="http://schemas.microsoft.com/office/2006/metadata/properties" xmlns:ns2="ea50743c-859b-4dac-8440-aec4f959058f" xmlns:ns3="4f7739c6-d460-44cd-88b6-3636ed9727e0" targetNamespace="http://schemas.microsoft.com/office/2006/metadata/properties" ma:root="true" ma:fieldsID="b6a45d6086074e8acf5085322dd76635" ns2:_="" ns3:_="">
    <xsd:import namespace="ea50743c-859b-4dac-8440-aec4f959058f"/>
    <xsd:import namespace="4f7739c6-d460-44cd-88b6-3636ed972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0743c-859b-4dac-8440-aec4f9590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7739c6-d460-44cd-88b6-3636ed9727e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B9FFF-2DAB-4A80-B1FB-A3DEFD976A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B5D36-F23E-42FA-ABFE-1884FA46ED42}">
  <ds:schemaRefs>
    <ds:schemaRef ds:uri="http://schemas.microsoft.com/sharepoint/v3/contenttype/forms"/>
  </ds:schemaRefs>
</ds:datastoreItem>
</file>

<file path=customXml/itemProps3.xml><?xml version="1.0" encoding="utf-8"?>
<ds:datastoreItem xmlns:ds="http://schemas.openxmlformats.org/officeDocument/2006/customXml" ds:itemID="{E46C12B4-61BC-4C15-8E91-2DA61B9CE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0743c-859b-4dac-8440-aec4f959058f"/>
    <ds:schemaRef ds:uri="4f7739c6-d460-44cd-88b6-3636ed972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4698</Words>
  <Characters>2679</Characters>
  <Application>Microsoft Office Word</Application>
  <DocSecurity>0</DocSecurity>
  <Lines>22</Lines>
  <Paragraphs>14</Paragraphs>
  <ScaleCrop>false</ScaleCrop>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Vilks</dc:creator>
  <cp:keywords/>
  <dc:description/>
  <cp:lastModifiedBy>Ivars Vilks</cp:lastModifiedBy>
  <cp:revision>3</cp:revision>
  <dcterms:created xsi:type="dcterms:W3CDTF">2021-10-01T09:53:00Z</dcterms:created>
  <dcterms:modified xsi:type="dcterms:W3CDTF">2021-11-13T10:04:00Z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0x01010038FCE9C842FE7240B8E2EF7B100751B2</vt:lpwstr>
  </property>
</Properties>
</file>