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307C7" w14:textId="15068C90" w:rsidR="00EF3A20" w:rsidRPr="002716F0" w:rsidRDefault="002716F0" w:rsidP="002716F0">
      <w:pPr>
        <w:jc w:val="right"/>
        <w:rPr>
          <w:rFonts w:cs="Times New Roman"/>
          <w:bCs/>
          <w:sz w:val="24"/>
          <w:szCs w:val="24"/>
        </w:rPr>
      </w:pPr>
      <w:r w:rsidRPr="002716F0">
        <w:rPr>
          <w:rFonts w:cs="Times New Roman"/>
          <w:bCs/>
          <w:sz w:val="24"/>
          <w:szCs w:val="24"/>
        </w:rPr>
        <w:t xml:space="preserve">Uz </w:t>
      </w:r>
      <w:r w:rsidR="00040872">
        <w:rPr>
          <w:rFonts w:cs="Times New Roman"/>
          <w:bCs/>
          <w:sz w:val="24"/>
          <w:szCs w:val="24"/>
        </w:rPr>
        <w:t>04</w:t>
      </w:r>
      <w:r w:rsidRPr="002716F0">
        <w:rPr>
          <w:rFonts w:cs="Times New Roman"/>
          <w:bCs/>
          <w:sz w:val="24"/>
          <w:szCs w:val="24"/>
        </w:rPr>
        <w:t>.0</w:t>
      </w:r>
      <w:r w:rsidR="00040872">
        <w:rPr>
          <w:rFonts w:cs="Times New Roman"/>
          <w:bCs/>
          <w:sz w:val="24"/>
          <w:szCs w:val="24"/>
        </w:rPr>
        <w:t>6</w:t>
      </w:r>
      <w:r w:rsidRPr="002716F0">
        <w:rPr>
          <w:rFonts w:cs="Times New Roman"/>
          <w:bCs/>
          <w:sz w:val="24"/>
          <w:szCs w:val="24"/>
        </w:rPr>
        <w:t>.2021.</w:t>
      </w:r>
    </w:p>
    <w:p w14:paraId="48548550" w14:textId="77777777" w:rsidR="002716F0" w:rsidRPr="00DF2717" w:rsidRDefault="002716F0" w:rsidP="00EF3A20">
      <w:pPr>
        <w:jc w:val="left"/>
        <w:rPr>
          <w:rFonts w:cs="Times New Roman"/>
          <w:b/>
          <w:color w:val="FF0000"/>
          <w:sz w:val="32"/>
          <w:szCs w:val="32"/>
        </w:rPr>
      </w:pPr>
    </w:p>
    <w:p w14:paraId="47AE52A1" w14:textId="6D3A1335" w:rsidR="00E62A9A" w:rsidRDefault="000C729D" w:rsidP="00EF3A20">
      <w:pPr>
        <w:jc w:val="center"/>
        <w:rPr>
          <w:b/>
          <w:szCs w:val="28"/>
        </w:rPr>
      </w:pPr>
      <w:r>
        <w:rPr>
          <w:b/>
          <w:szCs w:val="28"/>
        </w:rPr>
        <w:t>Nepubliska iepirkuma datu publi</w:t>
      </w:r>
      <w:r w:rsidR="00923A72">
        <w:rPr>
          <w:b/>
          <w:szCs w:val="28"/>
        </w:rPr>
        <w:t>skošana</w:t>
      </w:r>
    </w:p>
    <w:p w14:paraId="05A4D591" w14:textId="76D0C3C0" w:rsidR="008B3198" w:rsidRPr="008B3198" w:rsidRDefault="008B3198" w:rsidP="008B3198">
      <w:pPr>
        <w:jc w:val="center"/>
        <w:rPr>
          <w:rFonts w:cs="Times New Roman"/>
          <w:b/>
          <w:i/>
          <w:color w:val="FF0000"/>
          <w:sz w:val="32"/>
          <w:szCs w:val="32"/>
        </w:rPr>
      </w:pPr>
    </w:p>
    <w:p w14:paraId="1FA1BE72" w14:textId="77777777" w:rsidR="008B3198" w:rsidRDefault="008B3198" w:rsidP="008B3198">
      <w:pPr>
        <w:spacing w:before="120"/>
        <w:ind w:left="284" w:hanging="284"/>
        <w:rPr>
          <w:color w:val="2E74B5" w:themeColor="accent1" w:themeShade="BF"/>
          <w:sz w:val="20"/>
          <w:szCs w:val="20"/>
        </w:rPr>
      </w:pPr>
      <w:r w:rsidRPr="008938CC">
        <w:rPr>
          <w:color w:val="2E74B5" w:themeColor="accent1" w:themeShade="BF"/>
          <w:sz w:val="20"/>
          <w:szCs w:val="20"/>
        </w:rPr>
        <w:sym w:font="Webdings" w:char="F069"/>
      </w:r>
      <w:r w:rsidRPr="008938CC">
        <w:rPr>
          <w:color w:val="2E74B5" w:themeColor="accent1" w:themeShade="BF"/>
          <w:sz w:val="20"/>
          <w:szCs w:val="20"/>
        </w:rPr>
        <w:t xml:space="preserve"> </w:t>
      </w:r>
      <w:r>
        <w:rPr>
          <w:color w:val="2E74B5" w:themeColor="accent1" w:themeShade="BF"/>
          <w:sz w:val="20"/>
          <w:szCs w:val="20"/>
        </w:rPr>
        <w:tab/>
        <w:t xml:space="preserve">Dokuments sagatavots ar izvēršamiem blokiem (bloki izvēršami vai savēršami spiežot uz </w:t>
      </w:r>
      <w:r w:rsidRPr="008A41AC">
        <w:rPr>
          <w:color w:val="2E74B5" w:themeColor="accent1" w:themeShade="BF"/>
          <w:sz w:val="20"/>
          <w:szCs w:val="20"/>
        </w:rPr>
        <w:sym w:font="Wingdings 3" w:char="F07D"/>
      </w:r>
      <w:r w:rsidRPr="008A41AC">
        <w:rPr>
          <w:color w:val="2E74B5" w:themeColor="accent1" w:themeShade="BF"/>
          <w:sz w:val="20"/>
          <w:szCs w:val="20"/>
        </w:rPr>
        <w:t xml:space="preserve"> </w:t>
      </w:r>
      <w:r>
        <w:rPr>
          <w:color w:val="2E74B5" w:themeColor="accent1" w:themeShade="BF"/>
          <w:sz w:val="20"/>
          <w:szCs w:val="20"/>
        </w:rPr>
        <w:t>simbola</w:t>
      </w:r>
      <w:r w:rsidRPr="00F436C2">
        <w:rPr>
          <w:color w:val="2E74B5" w:themeColor="accent1" w:themeShade="BF"/>
          <w:sz w:val="20"/>
          <w:szCs w:val="20"/>
        </w:rPr>
        <w:t>)</w:t>
      </w:r>
      <w:r>
        <w:rPr>
          <w:color w:val="2E74B5" w:themeColor="accent1" w:themeShade="BF"/>
          <w:sz w:val="20"/>
          <w:szCs w:val="20"/>
        </w:rPr>
        <w:t xml:space="preserve">, funkcionalitāte pieejama </w:t>
      </w:r>
      <w:r w:rsidRPr="008A41AC">
        <w:rPr>
          <w:color w:val="2E74B5" w:themeColor="accent1" w:themeShade="BF"/>
          <w:sz w:val="20"/>
          <w:szCs w:val="20"/>
        </w:rPr>
        <w:t>MS Word 2013</w:t>
      </w:r>
      <w:r>
        <w:rPr>
          <w:color w:val="2E74B5" w:themeColor="accent1" w:themeShade="BF"/>
          <w:sz w:val="20"/>
          <w:szCs w:val="20"/>
        </w:rPr>
        <w:t xml:space="preserve"> vai vēlākam versijām (agrākām </w:t>
      </w:r>
      <w:r w:rsidRPr="008A41AC">
        <w:rPr>
          <w:color w:val="2E74B5" w:themeColor="accent1" w:themeShade="BF"/>
          <w:sz w:val="20"/>
          <w:szCs w:val="20"/>
        </w:rPr>
        <w:t xml:space="preserve">MS Word </w:t>
      </w:r>
      <w:r>
        <w:rPr>
          <w:color w:val="2E74B5" w:themeColor="accent1" w:themeShade="BF"/>
          <w:sz w:val="20"/>
          <w:szCs w:val="20"/>
        </w:rPr>
        <w:t>versijām bloki vienmēr ir izvērsti un nav savēršami).</w:t>
      </w:r>
    </w:p>
    <w:p w14:paraId="12C6F677" w14:textId="68598287" w:rsidR="000C729D" w:rsidRDefault="000C729D" w:rsidP="00EF1309">
      <w:pPr>
        <w:pStyle w:val="Virsraksts1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Iepirkumam, kurš sākotnēji nav publiskots EIS (</w:t>
      </w:r>
      <w:r w:rsidR="00C776F3">
        <w:rPr>
          <w:rFonts w:ascii="Times New Roman" w:hAnsi="Times New Roman" w:cs="Times New Roman"/>
          <w:b/>
          <w:sz w:val="24"/>
          <w:szCs w:val="24"/>
        </w:rPr>
        <w:t>iepirkuma Pamatdatos ir i</w:t>
      </w:r>
      <w:r>
        <w:rPr>
          <w:rFonts w:ascii="Times New Roman" w:hAnsi="Times New Roman" w:cs="Times New Roman"/>
          <w:b/>
          <w:sz w:val="24"/>
          <w:szCs w:val="24"/>
        </w:rPr>
        <w:t>elikta atzīme “Nepublicēt EIS portālā”</w:t>
      </w:r>
      <w:r w:rsidR="00EF1309">
        <w:rPr>
          <w:rFonts w:ascii="Times New Roman" w:hAnsi="Times New Roman" w:cs="Times New Roman"/>
          <w:b/>
          <w:sz w:val="24"/>
          <w:szCs w:val="24"/>
        </w:rPr>
        <w:t>,</w:t>
      </w:r>
      <w:r w:rsidR="00EF1309" w:rsidRPr="00EF13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1309">
        <w:rPr>
          <w:rFonts w:ascii="Times New Roman" w:hAnsi="Times New Roman" w:cs="Times New Roman"/>
          <w:b/>
          <w:sz w:val="24"/>
          <w:szCs w:val="24"/>
        </w:rPr>
        <w:t>t.sk.</w:t>
      </w:r>
      <w:r w:rsidR="00EF1309" w:rsidRPr="00EF1309">
        <w:rPr>
          <w:rFonts w:ascii="Times New Roman" w:hAnsi="Times New Roman" w:cs="Times New Roman"/>
          <w:b/>
          <w:sz w:val="24"/>
          <w:szCs w:val="24"/>
        </w:rPr>
        <w:t xml:space="preserve"> vairāku posmu</w:t>
      </w:r>
      <w:r w:rsidR="00EF13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1309" w:rsidRPr="00EF1309">
        <w:rPr>
          <w:rFonts w:ascii="Times New Roman" w:hAnsi="Times New Roman" w:cs="Times New Roman"/>
          <w:b/>
          <w:sz w:val="24"/>
          <w:szCs w:val="24"/>
        </w:rPr>
        <w:t>gadījumā iepirkum</w:t>
      </w:r>
      <w:r w:rsidR="00EF1309">
        <w:rPr>
          <w:rFonts w:ascii="Times New Roman" w:hAnsi="Times New Roman" w:cs="Times New Roman"/>
          <w:b/>
          <w:sz w:val="24"/>
          <w:szCs w:val="24"/>
        </w:rPr>
        <w:t>a</w:t>
      </w:r>
      <w:r w:rsidR="00EF1309" w:rsidRPr="00EF1309">
        <w:rPr>
          <w:rFonts w:ascii="Times New Roman" w:hAnsi="Times New Roman" w:cs="Times New Roman"/>
          <w:b/>
          <w:sz w:val="24"/>
          <w:szCs w:val="24"/>
        </w:rPr>
        <w:t>m</w:t>
      </w:r>
      <w:r w:rsidR="00EF1309">
        <w:rPr>
          <w:rFonts w:ascii="Times New Roman" w:hAnsi="Times New Roman" w:cs="Times New Roman"/>
          <w:b/>
          <w:sz w:val="24"/>
          <w:szCs w:val="24"/>
        </w:rPr>
        <w:t>,</w:t>
      </w:r>
      <w:r w:rsidR="00EF1309" w:rsidRPr="00EF1309">
        <w:rPr>
          <w:rFonts w:ascii="Times New Roman" w:hAnsi="Times New Roman" w:cs="Times New Roman"/>
          <w:b/>
          <w:sz w:val="24"/>
          <w:szCs w:val="24"/>
        </w:rPr>
        <w:t xml:space="preserve"> kur</w:t>
      </w:r>
      <w:r w:rsidR="00EF1309">
        <w:rPr>
          <w:rFonts w:ascii="Times New Roman" w:hAnsi="Times New Roman" w:cs="Times New Roman"/>
          <w:b/>
          <w:sz w:val="24"/>
          <w:szCs w:val="24"/>
        </w:rPr>
        <w:t>š</w:t>
      </w:r>
      <w:r w:rsidR="00EF1309" w:rsidRPr="00EF1309">
        <w:rPr>
          <w:rFonts w:ascii="Times New Roman" w:hAnsi="Times New Roman" w:cs="Times New Roman"/>
          <w:b/>
          <w:sz w:val="24"/>
          <w:szCs w:val="24"/>
        </w:rPr>
        <w:t xml:space="preserve"> nav publisk</w:t>
      </w:r>
      <w:r w:rsidR="00EF1309">
        <w:rPr>
          <w:rFonts w:ascii="Times New Roman" w:hAnsi="Times New Roman" w:cs="Times New Roman"/>
          <w:b/>
          <w:sz w:val="24"/>
          <w:szCs w:val="24"/>
        </w:rPr>
        <w:t>s</w:t>
      </w:r>
      <w:r w:rsidR="00EF1309" w:rsidRPr="00EF1309">
        <w:rPr>
          <w:rFonts w:ascii="Times New Roman" w:hAnsi="Times New Roman" w:cs="Times New Roman"/>
          <w:b/>
          <w:sz w:val="24"/>
          <w:szCs w:val="24"/>
        </w:rPr>
        <w:t xml:space="preserve"> EIS </w:t>
      </w:r>
      <w:r w:rsidR="00EF1309">
        <w:rPr>
          <w:rFonts w:ascii="Times New Roman" w:hAnsi="Times New Roman" w:cs="Times New Roman"/>
          <w:b/>
          <w:sz w:val="24"/>
          <w:szCs w:val="24"/>
        </w:rPr>
        <w:t>no pirmā posma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EF1309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ir iespējams veikt iepirkuma publiskošanu (būs redzams visiem lietotājiem</w:t>
      </w:r>
      <w:r w:rsidR="00907FF9">
        <w:rPr>
          <w:rFonts w:ascii="Times New Roman" w:hAnsi="Times New Roman" w:cs="Times New Roman"/>
          <w:b/>
          <w:sz w:val="24"/>
          <w:szCs w:val="24"/>
        </w:rPr>
        <w:t>, t.sk. statusā Viesis</w:t>
      </w:r>
      <w:r>
        <w:rPr>
          <w:rFonts w:ascii="Times New Roman" w:hAnsi="Times New Roman" w:cs="Times New Roman"/>
          <w:b/>
          <w:sz w:val="24"/>
          <w:szCs w:val="24"/>
        </w:rPr>
        <w:t>).</w:t>
      </w:r>
    </w:p>
    <w:p w14:paraId="771D7F18" w14:textId="29165144" w:rsidR="0065757D" w:rsidRDefault="00907FF9" w:rsidP="0065757D">
      <w:pPr>
        <w:pStyle w:val="Sarakstarindkopa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5757D" w:rsidRPr="0065757D">
        <w:rPr>
          <w:sz w:val="24"/>
          <w:szCs w:val="24"/>
        </w:rPr>
        <w:t xml:space="preserve">Pēc iepirkuma </w:t>
      </w:r>
      <w:r w:rsidR="0065757D">
        <w:rPr>
          <w:sz w:val="24"/>
          <w:szCs w:val="24"/>
        </w:rPr>
        <w:t>publiskošanas EIS</w:t>
      </w:r>
      <w:r>
        <w:rPr>
          <w:sz w:val="24"/>
          <w:szCs w:val="24"/>
        </w:rPr>
        <w:t xml:space="preserve"> </w:t>
      </w:r>
      <w:r w:rsidR="0065757D">
        <w:rPr>
          <w:sz w:val="24"/>
          <w:szCs w:val="24"/>
        </w:rPr>
        <w:t>būs pieejama informācija, kāda ir norādīta iepirkuma šķirkļa “Pamatdati” izvēršamajā blokā “Iepirkuma pamatdati”, “Pasūtītājs”</w:t>
      </w:r>
      <w:r>
        <w:rPr>
          <w:sz w:val="24"/>
          <w:szCs w:val="24"/>
        </w:rPr>
        <w:t xml:space="preserve"> un</w:t>
      </w:r>
      <w:r w:rsidR="0065757D">
        <w:rPr>
          <w:sz w:val="24"/>
          <w:szCs w:val="24"/>
        </w:rPr>
        <w:t xml:space="preserve"> “Iepirkuma priekšmets” </w:t>
      </w:r>
      <w:r>
        <w:rPr>
          <w:sz w:val="24"/>
          <w:szCs w:val="24"/>
        </w:rPr>
        <w:t>ievadītā informācija.</w:t>
      </w:r>
    </w:p>
    <w:p w14:paraId="49655860" w14:textId="318D8802" w:rsidR="00907FF9" w:rsidRDefault="00907FF9" w:rsidP="0065757D">
      <w:pPr>
        <w:pStyle w:val="Sarakstarindkopa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Lietotājiem tiek attēlots izvēršamais bloks “Dokumenti (aktuālie)”</w:t>
      </w:r>
      <w:r w:rsidR="002E7CDB">
        <w:rPr>
          <w:sz w:val="24"/>
          <w:szCs w:val="24"/>
        </w:rPr>
        <w:t>.</w:t>
      </w:r>
      <w:r w:rsidR="00D74BA4">
        <w:rPr>
          <w:sz w:val="24"/>
          <w:szCs w:val="24"/>
        </w:rPr>
        <w:t xml:space="preserve"> Blokā</w:t>
      </w:r>
      <w:r>
        <w:rPr>
          <w:sz w:val="24"/>
          <w:szCs w:val="24"/>
        </w:rPr>
        <w:t xml:space="preserve"> ir pieejam</w:t>
      </w:r>
      <w:r w:rsidR="00D74BA4">
        <w:rPr>
          <w:sz w:val="24"/>
          <w:szCs w:val="24"/>
        </w:rPr>
        <w:t>i</w:t>
      </w:r>
      <w:r>
        <w:rPr>
          <w:sz w:val="24"/>
          <w:szCs w:val="24"/>
        </w:rPr>
        <w:t xml:space="preserve"> dokumenti ar veidu </w:t>
      </w:r>
      <w:r w:rsidR="00EE1D31">
        <w:rPr>
          <w:sz w:val="24"/>
          <w:szCs w:val="24"/>
        </w:rPr>
        <w:t xml:space="preserve">“Iepirkuma posma gala ziņojums” </w:t>
      </w:r>
      <w:r w:rsidR="00D74BA4">
        <w:rPr>
          <w:sz w:val="24"/>
          <w:szCs w:val="24"/>
        </w:rPr>
        <w:t>un dokumenti ar veidu “</w:t>
      </w:r>
      <w:r w:rsidR="00604A50">
        <w:rPr>
          <w:sz w:val="24"/>
          <w:szCs w:val="24"/>
        </w:rPr>
        <w:t>Līgums”.</w:t>
      </w:r>
    </w:p>
    <w:p w14:paraId="013CEF49" w14:textId="5EE42264" w:rsidR="00604A50" w:rsidRDefault="00604A50" w:rsidP="00604A50">
      <w:pPr>
        <w:pStyle w:val="Sarakstarindkopa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74BA4">
        <w:rPr>
          <w:sz w:val="24"/>
          <w:szCs w:val="24"/>
        </w:rPr>
        <w:t xml:space="preserve">Lietotājiem tiek attēlots izvēršamais bloks “Dokumenti (arhīvs)”, ja šinī blokā ir ieraksti. Blokā tiek attēlota informācija par </w:t>
      </w:r>
      <w:r>
        <w:rPr>
          <w:sz w:val="24"/>
          <w:szCs w:val="24"/>
        </w:rPr>
        <w:t>pirms tam nopublicēta dokumenta atsaukšanu. Informācija tiek attēlota par dokumentiem ar veidu “Iepirkuma posma gala ziņojums” un dokumenti ar veidu “Līgums”.</w:t>
      </w:r>
    </w:p>
    <w:p w14:paraId="65F9A5DE" w14:textId="4076505C" w:rsidR="00D74BA4" w:rsidRDefault="0064140A" w:rsidP="008728F1">
      <w:pPr>
        <w:pStyle w:val="Sarakstarindkopa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Reģistrētajiem lietotājiem, kuri nav uzaicināti iesniegt piedāvājumu konkrētajā nepubliskotajā iepirkumā, informācija tiek attēlota tādā pašā apjomā kā nereģistrētajam lietotājam (statuss Viesis).</w:t>
      </w:r>
    </w:p>
    <w:p w14:paraId="15F5ABFF" w14:textId="7F2581A3" w:rsidR="00612E18" w:rsidRDefault="00612E18" w:rsidP="00917DEC">
      <w:pPr>
        <w:ind w:left="284"/>
        <w:rPr>
          <w:sz w:val="24"/>
          <w:szCs w:val="24"/>
        </w:rPr>
      </w:pPr>
      <w:r w:rsidRPr="00917DEC">
        <w:rPr>
          <w:sz w:val="24"/>
          <w:szCs w:val="24"/>
        </w:rPr>
        <w:t xml:space="preserve"> Publiskotais iepirkums būs apskatāms visiem lietotājiem kopējā publicēto iepirkumu sarakstā.</w:t>
      </w:r>
    </w:p>
    <w:p w14:paraId="2D706F05" w14:textId="77777777" w:rsidR="00EF1309" w:rsidRDefault="00EF1309" w:rsidP="00917DEC">
      <w:pPr>
        <w:ind w:left="284"/>
        <w:rPr>
          <w:sz w:val="24"/>
          <w:szCs w:val="24"/>
        </w:rPr>
      </w:pPr>
    </w:p>
    <w:p w14:paraId="5CEB4E03" w14:textId="5983B981" w:rsidR="00EF1309" w:rsidRPr="00040872" w:rsidRDefault="00EF1309" w:rsidP="00917DEC">
      <w:pPr>
        <w:ind w:left="284"/>
        <w:rPr>
          <w:sz w:val="24"/>
          <w:szCs w:val="24"/>
        </w:rPr>
      </w:pPr>
      <w:r w:rsidRPr="00040872">
        <w:rPr>
          <w:color w:val="FF0000"/>
          <w:sz w:val="24"/>
          <w:szCs w:val="24"/>
        </w:rPr>
        <w:t xml:space="preserve">Vēršam uzmanību! </w:t>
      </w:r>
      <w:r w:rsidRPr="00040872">
        <w:rPr>
          <w:rFonts w:cs="Times New Roman"/>
          <w:sz w:val="24"/>
          <w:szCs w:val="24"/>
        </w:rPr>
        <w:t>Iepirkumiem, kuriem ir vairāki posmi un pirmais posms sākotnēji ir bijis publisks, šī funkcionalitāte nedarbojas.</w:t>
      </w:r>
    </w:p>
    <w:p w14:paraId="1B13D9AF" w14:textId="45A9CCD6" w:rsidR="00D97F31" w:rsidRPr="00040872" w:rsidRDefault="0064140A" w:rsidP="00E62A9A">
      <w:pPr>
        <w:pStyle w:val="Virsraksts1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040872">
        <w:rPr>
          <w:rFonts w:ascii="Times New Roman" w:hAnsi="Times New Roman" w:cs="Times New Roman"/>
          <w:b/>
          <w:sz w:val="24"/>
          <w:szCs w:val="24"/>
        </w:rPr>
        <w:t>Iepirkuma publiskošana (</w:t>
      </w:r>
      <w:r w:rsidR="00DB2295" w:rsidRPr="00040872">
        <w:rPr>
          <w:rFonts w:ascii="Times New Roman" w:hAnsi="Times New Roman" w:cs="Times New Roman"/>
          <w:b/>
          <w:sz w:val="24"/>
          <w:szCs w:val="24"/>
        </w:rPr>
        <w:t xml:space="preserve">t.i. darbības, kas jāveic, lai iepirkums </w:t>
      </w:r>
      <w:r w:rsidRPr="00040872">
        <w:rPr>
          <w:rFonts w:ascii="Times New Roman" w:hAnsi="Times New Roman" w:cs="Times New Roman"/>
          <w:b/>
          <w:sz w:val="24"/>
          <w:szCs w:val="24"/>
        </w:rPr>
        <w:t>bū</w:t>
      </w:r>
      <w:r w:rsidR="00DB2295" w:rsidRPr="00040872">
        <w:rPr>
          <w:rFonts w:ascii="Times New Roman" w:hAnsi="Times New Roman" w:cs="Times New Roman"/>
          <w:b/>
          <w:sz w:val="24"/>
          <w:szCs w:val="24"/>
        </w:rPr>
        <w:t>tu</w:t>
      </w:r>
      <w:r w:rsidRPr="00040872">
        <w:rPr>
          <w:rFonts w:ascii="Times New Roman" w:hAnsi="Times New Roman" w:cs="Times New Roman"/>
          <w:b/>
          <w:sz w:val="24"/>
          <w:szCs w:val="24"/>
        </w:rPr>
        <w:t xml:space="preserve"> redzam</w:t>
      </w:r>
      <w:r w:rsidR="00DB2295" w:rsidRPr="00040872">
        <w:rPr>
          <w:rFonts w:ascii="Times New Roman" w:hAnsi="Times New Roman" w:cs="Times New Roman"/>
          <w:b/>
          <w:sz w:val="24"/>
          <w:szCs w:val="24"/>
        </w:rPr>
        <w:t>s</w:t>
      </w:r>
      <w:r w:rsidRPr="00040872">
        <w:rPr>
          <w:rFonts w:ascii="Times New Roman" w:hAnsi="Times New Roman" w:cs="Times New Roman"/>
          <w:b/>
          <w:sz w:val="24"/>
          <w:szCs w:val="24"/>
        </w:rPr>
        <w:t xml:space="preserve"> visiem</w:t>
      </w:r>
      <w:r w:rsidR="00DB2295" w:rsidRPr="00040872">
        <w:rPr>
          <w:rFonts w:ascii="Times New Roman" w:hAnsi="Times New Roman" w:cs="Times New Roman"/>
          <w:b/>
          <w:sz w:val="24"/>
          <w:szCs w:val="24"/>
        </w:rPr>
        <w:t xml:space="preserve"> EIS</w:t>
      </w:r>
      <w:r w:rsidRPr="00040872">
        <w:rPr>
          <w:rFonts w:ascii="Times New Roman" w:hAnsi="Times New Roman" w:cs="Times New Roman"/>
          <w:b/>
          <w:sz w:val="24"/>
          <w:szCs w:val="24"/>
        </w:rPr>
        <w:t xml:space="preserve"> lietotājiem)</w:t>
      </w:r>
    </w:p>
    <w:p w14:paraId="366F951C" w14:textId="60D715B5" w:rsidR="007952E6" w:rsidRPr="00040872" w:rsidRDefault="007952E6" w:rsidP="007952E6">
      <w:pPr>
        <w:ind w:left="284"/>
        <w:rPr>
          <w:rFonts w:cs="Times New Roman"/>
          <w:sz w:val="24"/>
          <w:szCs w:val="24"/>
        </w:rPr>
      </w:pPr>
      <w:r w:rsidRPr="00040872">
        <w:rPr>
          <w:rFonts w:cs="Times New Roman"/>
          <w:color w:val="FF0000"/>
          <w:sz w:val="24"/>
          <w:szCs w:val="24"/>
        </w:rPr>
        <w:t xml:space="preserve">Vēršam uzmanību! </w:t>
      </w:r>
      <w:r w:rsidRPr="00040872">
        <w:rPr>
          <w:rFonts w:cs="Times New Roman"/>
          <w:sz w:val="24"/>
          <w:szCs w:val="24"/>
        </w:rPr>
        <w:t>Pēc iepirkuma publiskošanas EIS (darbība “Publiskot iepirkumu portālā”), veikt pretēju darbību, t.i. padarīt iepirkumu par nepublisku vairs nebūs iespējams.</w:t>
      </w:r>
    </w:p>
    <w:p w14:paraId="4F8BDDEE" w14:textId="77777777" w:rsidR="007952E6" w:rsidRPr="007952E6" w:rsidRDefault="007952E6" w:rsidP="007952E6">
      <w:pPr>
        <w:ind w:left="284"/>
        <w:rPr>
          <w:sz w:val="24"/>
          <w:szCs w:val="24"/>
        </w:rPr>
      </w:pPr>
    </w:p>
    <w:p w14:paraId="264B381D" w14:textId="46EBB4A5" w:rsidR="00917DEC" w:rsidRDefault="008728F1" w:rsidP="00917DEC">
      <w:pPr>
        <w:pStyle w:val="Sarakstarindkopa"/>
        <w:numPr>
          <w:ilvl w:val="1"/>
          <w:numId w:val="2"/>
        </w:numPr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Darbības var veikt </w:t>
      </w:r>
      <w:r>
        <w:rPr>
          <w:sz w:val="24"/>
          <w:szCs w:val="24"/>
        </w:rPr>
        <w:t xml:space="preserve">iepirkuma komisijas loceklis ar sistēmas lietotāja lomu </w:t>
      </w:r>
      <w:r w:rsidRPr="00612E18">
        <w:rPr>
          <w:sz w:val="24"/>
          <w:szCs w:val="24"/>
        </w:rPr>
        <w:t>“Iepirkumu komisijas dalībnieks”</w:t>
      </w:r>
      <w:r w:rsidR="00DB2295">
        <w:rPr>
          <w:sz w:val="24"/>
          <w:szCs w:val="24"/>
        </w:rPr>
        <w:t xml:space="preserve"> (neatkarīgi</w:t>
      </w:r>
      <w:r w:rsidR="005560F7">
        <w:rPr>
          <w:sz w:val="24"/>
          <w:szCs w:val="24"/>
        </w:rPr>
        <w:t>, kād</w:t>
      </w:r>
      <w:r w:rsidR="00DB2295">
        <w:rPr>
          <w:sz w:val="24"/>
          <w:szCs w:val="24"/>
        </w:rPr>
        <w:t>a</w:t>
      </w:r>
      <w:r w:rsidR="005560F7">
        <w:rPr>
          <w:sz w:val="24"/>
          <w:szCs w:val="24"/>
        </w:rPr>
        <w:t xml:space="preserve"> loma iepirkuma komisijā ir šim lietotājam</w:t>
      </w:r>
      <w:r w:rsidR="00DB2295">
        <w:rPr>
          <w:sz w:val="24"/>
          <w:szCs w:val="24"/>
        </w:rPr>
        <w:t>)</w:t>
      </w:r>
      <w:r w:rsidR="005560F7">
        <w:rPr>
          <w:sz w:val="24"/>
          <w:szCs w:val="24"/>
        </w:rPr>
        <w:t>.</w:t>
      </w:r>
    </w:p>
    <w:p w14:paraId="6392BFE0" w14:textId="708CE5D1" w:rsidR="00D97F31" w:rsidRPr="00917DEC" w:rsidRDefault="00D97F31" w:rsidP="005B6BBE">
      <w:pPr>
        <w:pStyle w:val="Sarakstarindkopa"/>
        <w:ind w:left="644"/>
        <w:rPr>
          <w:sz w:val="24"/>
          <w:szCs w:val="24"/>
        </w:rPr>
      </w:pPr>
    </w:p>
    <w:p w14:paraId="3EB73C01" w14:textId="4BC317DA" w:rsidR="002716F0" w:rsidRDefault="00612E18" w:rsidP="002716F0">
      <w:pPr>
        <w:pStyle w:val="Sarakstarindkopa"/>
        <w:numPr>
          <w:ilvl w:val="1"/>
          <w:numId w:val="2"/>
        </w:numPr>
        <w:rPr>
          <w:sz w:val="24"/>
          <w:szCs w:val="24"/>
        </w:rPr>
      </w:pPr>
      <w:r w:rsidRPr="00612E18">
        <w:rPr>
          <w:sz w:val="24"/>
          <w:szCs w:val="24"/>
        </w:rPr>
        <w:t xml:space="preserve"> </w:t>
      </w:r>
      <w:r w:rsidR="00996E19">
        <w:rPr>
          <w:sz w:val="24"/>
          <w:szCs w:val="24"/>
        </w:rPr>
        <w:t>Publiskot iepirkumu var gadījumos, kad kādai no iepirkuma daļām ir statuss “Līgums piešķirts”, “Līgumi noslēgti”, “Izbeigts” vai ”Pārtraukts” (pēc piedāvājumu atvēršanas). Publiskot iepirkumu, kurš ir pārtraukts pirms piedāvājuma atvēršanas nevar</w:t>
      </w:r>
      <w:r w:rsidRPr="005B6BBE">
        <w:rPr>
          <w:sz w:val="24"/>
          <w:szCs w:val="24"/>
        </w:rPr>
        <w:t>.</w:t>
      </w:r>
      <w:r w:rsidRPr="001C5BA3">
        <w:rPr>
          <w:color w:val="FF0000"/>
          <w:sz w:val="24"/>
          <w:szCs w:val="24"/>
        </w:rPr>
        <w:t xml:space="preserve"> </w:t>
      </w:r>
    </w:p>
    <w:p w14:paraId="0059CA0B" w14:textId="3E2C7855" w:rsidR="0040700C" w:rsidRDefault="001C5BA3" w:rsidP="002716F0">
      <w:pPr>
        <w:pStyle w:val="Sarakstarindkopa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Lai veiktu iepirkuma publiskošanu, šķirklī “Pamatdati” ir jāizvēlas darbība “Publiskot iepirkumu portālā”</w:t>
      </w:r>
      <w:r w:rsidR="0040700C">
        <w:rPr>
          <w:sz w:val="24"/>
          <w:szCs w:val="24"/>
        </w:rPr>
        <w:t>.</w:t>
      </w:r>
    </w:p>
    <w:p w14:paraId="5F95DB43" w14:textId="2475BB95" w:rsidR="0040700C" w:rsidRDefault="0040700C" w:rsidP="0040700C">
      <w:pPr>
        <w:pStyle w:val="Sarakstarindkopa"/>
        <w:ind w:left="644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577C1F3" wp14:editId="70C72F7D">
            <wp:extent cx="4635500" cy="698500"/>
            <wp:effectExtent l="0" t="0" r="0" b="6350"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61848" w14:textId="16E2DFB4" w:rsidR="001C5BA3" w:rsidRDefault="001C5BA3" w:rsidP="0040700C">
      <w:pPr>
        <w:pStyle w:val="Sarakstarindkopa"/>
        <w:ind w:left="64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952E6">
        <w:rPr>
          <w:sz w:val="24"/>
          <w:szCs w:val="24"/>
        </w:rPr>
        <w:t>U</w:t>
      </w:r>
      <w:r>
        <w:rPr>
          <w:sz w:val="24"/>
          <w:szCs w:val="24"/>
        </w:rPr>
        <w:t>n jāapstiprina darbība</w:t>
      </w:r>
      <w:r w:rsidR="007952E6">
        <w:rPr>
          <w:sz w:val="24"/>
          <w:szCs w:val="24"/>
        </w:rPr>
        <w:t>, sistēmas brīdinājuma logā izvēloties darbību “Turpināt”.</w:t>
      </w:r>
    </w:p>
    <w:p w14:paraId="68B7C27C" w14:textId="0099F6F6" w:rsidR="0040700C" w:rsidRPr="00612E18" w:rsidRDefault="0040700C" w:rsidP="0040700C">
      <w:pPr>
        <w:pStyle w:val="Sarakstarindkopa"/>
        <w:ind w:left="644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21E453E3" wp14:editId="1857EFDF">
            <wp:extent cx="6299200" cy="1365250"/>
            <wp:effectExtent l="0" t="0" r="6350" b="6350"/>
            <wp:docPr id="5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A232D" w14:textId="1EF8F726" w:rsidR="00BA1DB2" w:rsidRDefault="0040700C" w:rsidP="0040700C">
      <w:pPr>
        <w:pStyle w:val="Sarakstarindkopa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Pēc iepirkuma datu publiskošanas</w:t>
      </w:r>
      <w:r w:rsidR="0080710B">
        <w:rPr>
          <w:sz w:val="24"/>
          <w:szCs w:val="24"/>
        </w:rPr>
        <w:t xml:space="preserve">, šķirkļa “Pamatdati” izvēršamajā blokā “Iepirkuma pamatdati” tiek attēlota informācija par iepirkuma publiskošanas faktu un </w:t>
      </w:r>
      <w:proofErr w:type="spellStart"/>
      <w:r w:rsidR="0080710B">
        <w:rPr>
          <w:sz w:val="24"/>
          <w:szCs w:val="24"/>
        </w:rPr>
        <w:t>datumlaiku</w:t>
      </w:r>
      <w:proofErr w:type="spellEnd"/>
      <w:r w:rsidR="0080710B">
        <w:rPr>
          <w:sz w:val="24"/>
          <w:szCs w:val="24"/>
        </w:rPr>
        <w:t>.</w:t>
      </w:r>
    </w:p>
    <w:p w14:paraId="36EA58BD" w14:textId="22F81974" w:rsidR="0080710B" w:rsidRPr="0040700C" w:rsidRDefault="005560F7" w:rsidP="0080710B">
      <w:pPr>
        <w:pStyle w:val="Sarakstarindkopa"/>
        <w:ind w:left="644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373A5CE" wp14:editId="380E985E">
            <wp:extent cx="3905250" cy="254000"/>
            <wp:effectExtent l="0" t="0" r="0" b="0"/>
            <wp:docPr id="11" name="Attēl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0129A" w14:textId="4B065C23" w:rsidR="00BA1DB2" w:rsidRDefault="00BA1DB2" w:rsidP="00BA1DB2">
      <w:pPr>
        <w:rPr>
          <w:sz w:val="24"/>
          <w:szCs w:val="24"/>
        </w:rPr>
      </w:pPr>
    </w:p>
    <w:p w14:paraId="0E1EFD82" w14:textId="3434D313" w:rsidR="009C2082" w:rsidRPr="00BA1DB2" w:rsidRDefault="005A2CF2" w:rsidP="00BA1DB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9C2082" w:rsidRPr="00BA1DB2" w:rsidSect="00156C19">
      <w:footerReference w:type="default" r:id="rId11"/>
      <w:pgSz w:w="11906" w:h="16838"/>
      <w:pgMar w:top="851" w:right="1133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E77D9" w14:textId="77777777" w:rsidR="006D5FB7" w:rsidRDefault="006D5FB7" w:rsidP="004C4EA5">
      <w:r>
        <w:separator/>
      </w:r>
    </w:p>
  </w:endnote>
  <w:endnote w:type="continuationSeparator" w:id="0">
    <w:p w14:paraId="31E0A7AC" w14:textId="77777777" w:rsidR="006D5FB7" w:rsidRDefault="006D5FB7" w:rsidP="004C4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091668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id w:val="1855848494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432C50DD" w14:textId="77777777" w:rsidR="004C4EA5" w:rsidRPr="004C4EA5" w:rsidRDefault="004C4EA5">
            <w:pPr>
              <w:pStyle w:val="Kjene"/>
              <w:jc w:val="right"/>
              <w:rPr>
                <w:sz w:val="24"/>
                <w:szCs w:val="24"/>
              </w:rPr>
            </w:pPr>
            <w:r w:rsidRPr="004C4EA5">
              <w:rPr>
                <w:bCs/>
                <w:sz w:val="24"/>
                <w:szCs w:val="24"/>
              </w:rPr>
              <w:fldChar w:fldCharType="begin"/>
            </w:r>
            <w:r w:rsidRPr="004C4EA5">
              <w:rPr>
                <w:bCs/>
                <w:sz w:val="24"/>
                <w:szCs w:val="24"/>
              </w:rPr>
              <w:instrText xml:space="preserve"> PAGE </w:instrText>
            </w:r>
            <w:r w:rsidRPr="004C4EA5">
              <w:rPr>
                <w:bCs/>
                <w:sz w:val="24"/>
                <w:szCs w:val="24"/>
              </w:rPr>
              <w:fldChar w:fldCharType="separate"/>
            </w:r>
            <w:r w:rsidR="0007187E">
              <w:rPr>
                <w:bCs/>
                <w:noProof/>
                <w:sz w:val="24"/>
                <w:szCs w:val="24"/>
              </w:rPr>
              <w:t>1</w:t>
            </w:r>
            <w:r w:rsidRPr="004C4EA5">
              <w:rPr>
                <w:bCs/>
                <w:sz w:val="24"/>
                <w:szCs w:val="24"/>
              </w:rPr>
              <w:fldChar w:fldCharType="end"/>
            </w:r>
            <w:r w:rsidRPr="004C4EA5">
              <w:rPr>
                <w:sz w:val="24"/>
                <w:szCs w:val="24"/>
              </w:rPr>
              <w:t xml:space="preserve"> - </w:t>
            </w:r>
            <w:r w:rsidRPr="004C4EA5">
              <w:rPr>
                <w:bCs/>
                <w:sz w:val="24"/>
                <w:szCs w:val="24"/>
              </w:rPr>
              <w:fldChar w:fldCharType="begin"/>
            </w:r>
            <w:r w:rsidRPr="004C4EA5">
              <w:rPr>
                <w:bCs/>
                <w:sz w:val="24"/>
                <w:szCs w:val="24"/>
              </w:rPr>
              <w:instrText xml:space="preserve"> NUMPAGES  </w:instrText>
            </w:r>
            <w:r w:rsidRPr="004C4EA5">
              <w:rPr>
                <w:bCs/>
                <w:sz w:val="24"/>
                <w:szCs w:val="24"/>
              </w:rPr>
              <w:fldChar w:fldCharType="separate"/>
            </w:r>
            <w:r w:rsidR="0007187E">
              <w:rPr>
                <w:bCs/>
                <w:noProof/>
                <w:sz w:val="24"/>
                <w:szCs w:val="24"/>
              </w:rPr>
              <w:t>1</w:t>
            </w:r>
            <w:r w:rsidRPr="004C4EA5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26F3AC" w14:textId="77777777" w:rsidR="004C4EA5" w:rsidRDefault="004C4EA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BDADF" w14:textId="77777777" w:rsidR="006D5FB7" w:rsidRDefault="006D5FB7" w:rsidP="004C4EA5">
      <w:r>
        <w:separator/>
      </w:r>
    </w:p>
  </w:footnote>
  <w:footnote w:type="continuationSeparator" w:id="0">
    <w:p w14:paraId="7D5E1EBE" w14:textId="77777777" w:rsidR="006D5FB7" w:rsidRDefault="006D5FB7" w:rsidP="004C4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A68B0"/>
    <w:multiLevelType w:val="multilevel"/>
    <w:tmpl w:val="5226EF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20" w:hanging="36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278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abstractNum w:abstractNumId="1" w15:restartNumberingAfterBreak="0">
    <w:nsid w:val="66E8153F"/>
    <w:multiLevelType w:val="multilevel"/>
    <w:tmpl w:val="2D545C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78EA6A63"/>
    <w:multiLevelType w:val="multilevel"/>
    <w:tmpl w:val="2A9C282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AFC"/>
    <w:rsid w:val="000032EB"/>
    <w:rsid w:val="00040872"/>
    <w:rsid w:val="0007187E"/>
    <w:rsid w:val="00072328"/>
    <w:rsid w:val="000B0C11"/>
    <w:rsid w:val="000C1A9E"/>
    <w:rsid w:val="000C729D"/>
    <w:rsid w:val="000D1AF1"/>
    <w:rsid w:val="000E4889"/>
    <w:rsid w:val="000F74EA"/>
    <w:rsid w:val="001178BE"/>
    <w:rsid w:val="001430CB"/>
    <w:rsid w:val="00145299"/>
    <w:rsid w:val="00145A3F"/>
    <w:rsid w:val="00156C19"/>
    <w:rsid w:val="00164D4B"/>
    <w:rsid w:val="00167D53"/>
    <w:rsid w:val="00176ED3"/>
    <w:rsid w:val="00181566"/>
    <w:rsid w:val="00186BBD"/>
    <w:rsid w:val="00187386"/>
    <w:rsid w:val="00194307"/>
    <w:rsid w:val="001B587E"/>
    <w:rsid w:val="001B6473"/>
    <w:rsid w:val="001B7947"/>
    <w:rsid w:val="001C2C4B"/>
    <w:rsid w:val="001C5BA3"/>
    <w:rsid w:val="001D46B1"/>
    <w:rsid w:val="001E4C8C"/>
    <w:rsid w:val="001F2DF2"/>
    <w:rsid w:val="00210179"/>
    <w:rsid w:val="00223A64"/>
    <w:rsid w:val="002440E3"/>
    <w:rsid w:val="00245773"/>
    <w:rsid w:val="002612A3"/>
    <w:rsid w:val="002716F0"/>
    <w:rsid w:val="00283EDC"/>
    <w:rsid w:val="00292AE1"/>
    <w:rsid w:val="002A3017"/>
    <w:rsid w:val="002E7CDB"/>
    <w:rsid w:val="002F2A3D"/>
    <w:rsid w:val="003117AA"/>
    <w:rsid w:val="00321080"/>
    <w:rsid w:val="00323B2C"/>
    <w:rsid w:val="003426EB"/>
    <w:rsid w:val="00343074"/>
    <w:rsid w:val="003437D3"/>
    <w:rsid w:val="00345D81"/>
    <w:rsid w:val="00350457"/>
    <w:rsid w:val="00383A4D"/>
    <w:rsid w:val="003A570C"/>
    <w:rsid w:val="003C56AF"/>
    <w:rsid w:val="003C6E8D"/>
    <w:rsid w:val="003D270B"/>
    <w:rsid w:val="003E7FF2"/>
    <w:rsid w:val="00403C77"/>
    <w:rsid w:val="00404A0A"/>
    <w:rsid w:val="0040700C"/>
    <w:rsid w:val="004125E4"/>
    <w:rsid w:val="004319E1"/>
    <w:rsid w:val="00433F95"/>
    <w:rsid w:val="00434529"/>
    <w:rsid w:val="00436C7C"/>
    <w:rsid w:val="0049257C"/>
    <w:rsid w:val="004A1DB4"/>
    <w:rsid w:val="004B4397"/>
    <w:rsid w:val="004B760B"/>
    <w:rsid w:val="004C4EA5"/>
    <w:rsid w:val="004C7550"/>
    <w:rsid w:val="004D7992"/>
    <w:rsid w:val="004E0A8B"/>
    <w:rsid w:val="004E2FB6"/>
    <w:rsid w:val="004E50D1"/>
    <w:rsid w:val="004F2D5B"/>
    <w:rsid w:val="004F3B23"/>
    <w:rsid w:val="004F7BAE"/>
    <w:rsid w:val="00511E60"/>
    <w:rsid w:val="00513639"/>
    <w:rsid w:val="005354A8"/>
    <w:rsid w:val="00536235"/>
    <w:rsid w:val="005560F7"/>
    <w:rsid w:val="00560DCB"/>
    <w:rsid w:val="005643B8"/>
    <w:rsid w:val="00571F52"/>
    <w:rsid w:val="0058696F"/>
    <w:rsid w:val="005A0C30"/>
    <w:rsid w:val="005A2CF2"/>
    <w:rsid w:val="005B5FF5"/>
    <w:rsid w:val="005B6BBE"/>
    <w:rsid w:val="00604A50"/>
    <w:rsid w:val="00612E18"/>
    <w:rsid w:val="00623AFE"/>
    <w:rsid w:val="00627300"/>
    <w:rsid w:val="00632F3C"/>
    <w:rsid w:val="0064140A"/>
    <w:rsid w:val="00642946"/>
    <w:rsid w:val="006443F8"/>
    <w:rsid w:val="0065601C"/>
    <w:rsid w:val="0065757D"/>
    <w:rsid w:val="00665ED1"/>
    <w:rsid w:val="00680A16"/>
    <w:rsid w:val="0069449C"/>
    <w:rsid w:val="00694B3D"/>
    <w:rsid w:val="006B0989"/>
    <w:rsid w:val="006C0673"/>
    <w:rsid w:val="006C1719"/>
    <w:rsid w:val="006D0F35"/>
    <w:rsid w:val="006D5FB7"/>
    <w:rsid w:val="006E326B"/>
    <w:rsid w:val="006F2A5B"/>
    <w:rsid w:val="00705D7C"/>
    <w:rsid w:val="007232D9"/>
    <w:rsid w:val="007311E5"/>
    <w:rsid w:val="007869F7"/>
    <w:rsid w:val="007925C2"/>
    <w:rsid w:val="007952E6"/>
    <w:rsid w:val="00795F55"/>
    <w:rsid w:val="007B6BDB"/>
    <w:rsid w:val="007C66AD"/>
    <w:rsid w:val="007E0EFD"/>
    <w:rsid w:val="007F07F1"/>
    <w:rsid w:val="0080592D"/>
    <w:rsid w:val="0080710B"/>
    <w:rsid w:val="00815146"/>
    <w:rsid w:val="00817BA0"/>
    <w:rsid w:val="008249D0"/>
    <w:rsid w:val="00833B9F"/>
    <w:rsid w:val="0084202E"/>
    <w:rsid w:val="008510AA"/>
    <w:rsid w:val="008728F1"/>
    <w:rsid w:val="00875A76"/>
    <w:rsid w:val="00884558"/>
    <w:rsid w:val="00887266"/>
    <w:rsid w:val="008B3198"/>
    <w:rsid w:val="008E7C7A"/>
    <w:rsid w:val="008F3AFC"/>
    <w:rsid w:val="0090303E"/>
    <w:rsid w:val="00907FF9"/>
    <w:rsid w:val="00917DEC"/>
    <w:rsid w:val="00923A72"/>
    <w:rsid w:val="00935FC1"/>
    <w:rsid w:val="00942A89"/>
    <w:rsid w:val="00947060"/>
    <w:rsid w:val="0095150B"/>
    <w:rsid w:val="0095719A"/>
    <w:rsid w:val="00982513"/>
    <w:rsid w:val="0098659A"/>
    <w:rsid w:val="00990C72"/>
    <w:rsid w:val="00996E19"/>
    <w:rsid w:val="009B5A2E"/>
    <w:rsid w:val="009C2082"/>
    <w:rsid w:val="009D0685"/>
    <w:rsid w:val="009E35D1"/>
    <w:rsid w:val="009E6E69"/>
    <w:rsid w:val="009F05B5"/>
    <w:rsid w:val="00A35D53"/>
    <w:rsid w:val="00A70F82"/>
    <w:rsid w:val="00AB650F"/>
    <w:rsid w:val="00AD0D93"/>
    <w:rsid w:val="00AF2753"/>
    <w:rsid w:val="00AF615B"/>
    <w:rsid w:val="00AF73B3"/>
    <w:rsid w:val="00B00C11"/>
    <w:rsid w:val="00B235D5"/>
    <w:rsid w:val="00B711A2"/>
    <w:rsid w:val="00BA0A45"/>
    <w:rsid w:val="00BA1614"/>
    <w:rsid w:val="00BA1DB2"/>
    <w:rsid w:val="00BD6FAA"/>
    <w:rsid w:val="00BF34E5"/>
    <w:rsid w:val="00C01ED1"/>
    <w:rsid w:val="00C20320"/>
    <w:rsid w:val="00C271FD"/>
    <w:rsid w:val="00C42577"/>
    <w:rsid w:val="00C50727"/>
    <w:rsid w:val="00C60E92"/>
    <w:rsid w:val="00C7223C"/>
    <w:rsid w:val="00C776F3"/>
    <w:rsid w:val="00C83903"/>
    <w:rsid w:val="00CA3AC1"/>
    <w:rsid w:val="00CB4E57"/>
    <w:rsid w:val="00CD0150"/>
    <w:rsid w:val="00D26226"/>
    <w:rsid w:val="00D46615"/>
    <w:rsid w:val="00D65B65"/>
    <w:rsid w:val="00D74BA4"/>
    <w:rsid w:val="00D764F5"/>
    <w:rsid w:val="00D91F33"/>
    <w:rsid w:val="00D94F1D"/>
    <w:rsid w:val="00D97F31"/>
    <w:rsid w:val="00DB2295"/>
    <w:rsid w:val="00DB2A3C"/>
    <w:rsid w:val="00DC6345"/>
    <w:rsid w:val="00DE20D6"/>
    <w:rsid w:val="00E04875"/>
    <w:rsid w:val="00E27E3F"/>
    <w:rsid w:val="00E35BD2"/>
    <w:rsid w:val="00E4299B"/>
    <w:rsid w:val="00E544D3"/>
    <w:rsid w:val="00E62A9A"/>
    <w:rsid w:val="00E6311B"/>
    <w:rsid w:val="00E71DC9"/>
    <w:rsid w:val="00E95BAE"/>
    <w:rsid w:val="00EB0FD5"/>
    <w:rsid w:val="00EB55FF"/>
    <w:rsid w:val="00EE1D31"/>
    <w:rsid w:val="00EE48AF"/>
    <w:rsid w:val="00EF1309"/>
    <w:rsid w:val="00EF3A20"/>
    <w:rsid w:val="00F500A5"/>
    <w:rsid w:val="00F503A4"/>
    <w:rsid w:val="00F6562A"/>
    <w:rsid w:val="00F81683"/>
    <w:rsid w:val="00F93C58"/>
    <w:rsid w:val="00F96A36"/>
    <w:rsid w:val="00FA0A9D"/>
    <w:rsid w:val="00FA0E86"/>
    <w:rsid w:val="00FE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12516"/>
  <w15:docId w15:val="{6895B124-B679-4239-9048-BBBC2932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319E1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B319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D97F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C4EA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C4EA5"/>
    <w:rPr>
      <w:rFonts w:ascii="Times New Roman" w:hAnsi="Times New Roman"/>
      <w:sz w:val="28"/>
    </w:rPr>
  </w:style>
  <w:style w:type="paragraph" w:styleId="Kjene">
    <w:name w:val="footer"/>
    <w:basedOn w:val="Parasts"/>
    <w:link w:val="KjeneRakstz"/>
    <w:uiPriority w:val="99"/>
    <w:unhideWhenUsed/>
    <w:rsid w:val="004C4EA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C4EA5"/>
    <w:rPr>
      <w:rFonts w:ascii="Times New Roman" w:hAnsi="Times New Roman"/>
      <w:sz w:val="28"/>
    </w:rPr>
  </w:style>
  <w:style w:type="character" w:styleId="Hipersaite">
    <w:name w:val="Hyperlink"/>
    <w:basedOn w:val="Noklusjumarindkopasfonts"/>
    <w:uiPriority w:val="99"/>
    <w:unhideWhenUsed/>
    <w:rsid w:val="00F81683"/>
    <w:rPr>
      <w:color w:val="0563C1" w:themeColor="hyperlink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F81683"/>
    <w:rPr>
      <w:color w:val="954F72" w:themeColor="followed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11E60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11E60"/>
    <w:rPr>
      <w:rFonts w:ascii="Tahoma" w:hAnsi="Tahoma" w:cs="Tahoma"/>
      <w:sz w:val="16"/>
      <w:szCs w:val="16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B31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D97F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arakstarindkopa">
    <w:name w:val="List Paragraph"/>
    <w:basedOn w:val="Parasts"/>
    <w:uiPriority w:val="34"/>
    <w:qFormat/>
    <w:rsid w:val="004125E4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DB229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DB229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DB2295"/>
    <w:rPr>
      <w:rFonts w:ascii="Times New Roman" w:hAnsi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B229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B2295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8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98391-35AB-4586-976C-22EB9332D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1742</Words>
  <Characters>993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Ivars</dc:creator>
  <cp:lastModifiedBy>Ivars Vilks</cp:lastModifiedBy>
  <cp:revision>2</cp:revision>
  <dcterms:created xsi:type="dcterms:W3CDTF">2021-06-01T14:54:00Z</dcterms:created>
  <dcterms:modified xsi:type="dcterms:W3CDTF">2021-06-01T14:54:00Z</dcterms:modified>
</cp:coreProperties>
</file>