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CFD" w:rsidRDefault="00ED1CFD" w:rsidP="00ED1CFD">
      <w:pPr>
        <w:jc w:val="center"/>
        <w:rPr>
          <w:b/>
          <w:sz w:val="28"/>
          <w:szCs w:val="28"/>
        </w:rPr>
      </w:pPr>
      <w:r>
        <w:rPr>
          <w:b/>
          <w:sz w:val="28"/>
          <w:szCs w:val="28"/>
        </w:rPr>
        <w:t xml:space="preserve">Vienkāršotā </w:t>
      </w:r>
      <w:r>
        <w:rPr>
          <w:b/>
          <w:sz w:val="28"/>
          <w:szCs w:val="28"/>
        </w:rPr>
        <w:t xml:space="preserve">iepirkuma rezultātu ievade iepirkumu procedūrām </w:t>
      </w:r>
    </w:p>
    <w:p w:rsidR="00ED1CFD" w:rsidRPr="008938CC" w:rsidRDefault="00ED1CFD" w:rsidP="00ED1CFD">
      <w:pPr>
        <w:spacing w:before="120"/>
        <w:ind w:left="284" w:hanging="284"/>
        <w:jc w:val="both"/>
        <w:rPr>
          <w:color w:val="2E74B5" w:themeColor="accent1" w:themeShade="BF"/>
          <w:sz w:val="20"/>
          <w:szCs w:val="20"/>
        </w:rPr>
      </w:pPr>
      <w:r w:rsidRPr="008938CC">
        <w:rPr>
          <w:color w:val="2E74B5" w:themeColor="accent1" w:themeShade="BF"/>
          <w:sz w:val="20"/>
          <w:szCs w:val="20"/>
        </w:rPr>
        <w:sym w:font="Webdings" w:char="F069"/>
      </w:r>
      <w:r w:rsidRPr="008938CC">
        <w:rPr>
          <w:color w:val="2E74B5" w:themeColor="accent1" w:themeShade="BF"/>
          <w:sz w:val="20"/>
          <w:szCs w:val="20"/>
        </w:rPr>
        <w:t xml:space="preserve"> </w:t>
      </w:r>
      <w:r>
        <w:rPr>
          <w:color w:val="2E74B5" w:themeColor="accent1" w:themeShade="BF"/>
          <w:sz w:val="20"/>
          <w:szCs w:val="20"/>
        </w:rPr>
        <w:tab/>
        <w:t xml:space="preserve">Dokuments sagatavots ar izvēršamiem blokiem (bloki izvēršami vai savēršami spiežot uz </w:t>
      </w:r>
      <w:r w:rsidRPr="004924DB">
        <w:rPr>
          <w:color w:val="2E74B5" w:themeColor="accent1" w:themeShade="BF"/>
          <w:sz w:val="18"/>
          <w:szCs w:val="18"/>
        </w:rPr>
        <w:sym w:font="Wingdings 3" w:char="F07D"/>
      </w:r>
      <w:r>
        <w:rPr>
          <w:color w:val="2E74B5" w:themeColor="accent1" w:themeShade="BF"/>
          <w:sz w:val="16"/>
          <w:szCs w:val="16"/>
        </w:rPr>
        <w:t xml:space="preserve"> </w:t>
      </w:r>
      <w:r>
        <w:rPr>
          <w:color w:val="2E74B5" w:themeColor="accent1" w:themeShade="BF"/>
          <w:sz w:val="20"/>
          <w:szCs w:val="20"/>
        </w:rPr>
        <w:t>simbola</w:t>
      </w:r>
      <w:r w:rsidRPr="00F436C2">
        <w:rPr>
          <w:color w:val="2E74B5" w:themeColor="accent1" w:themeShade="BF"/>
          <w:sz w:val="20"/>
          <w:szCs w:val="20"/>
        </w:rPr>
        <w:t>)</w:t>
      </w:r>
      <w:r>
        <w:rPr>
          <w:color w:val="2E74B5" w:themeColor="accent1" w:themeShade="BF"/>
          <w:sz w:val="20"/>
          <w:szCs w:val="20"/>
        </w:rPr>
        <w:t xml:space="preserve">, funkcionalitāte pieejama </w:t>
      </w:r>
      <w:r w:rsidRPr="001F65B3">
        <w:rPr>
          <w:i/>
          <w:color w:val="2E74B5" w:themeColor="accent1" w:themeShade="BF"/>
          <w:sz w:val="20"/>
          <w:szCs w:val="20"/>
        </w:rPr>
        <w:t>MS Word 2013</w:t>
      </w:r>
      <w:r>
        <w:rPr>
          <w:color w:val="2E74B5" w:themeColor="accent1" w:themeShade="BF"/>
          <w:sz w:val="20"/>
          <w:szCs w:val="20"/>
        </w:rPr>
        <w:t xml:space="preserve"> vai vēlākam versijām (agrākām </w:t>
      </w:r>
      <w:r w:rsidRPr="001F65B3">
        <w:rPr>
          <w:i/>
          <w:color w:val="2E74B5" w:themeColor="accent1" w:themeShade="BF"/>
          <w:sz w:val="20"/>
          <w:szCs w:val="20"/>
        </w:rPr>
        <w:t xml:space="preserve">MS Word </w:t>
      </w:r>
      <w:r>
        <w:rPr>
          <w:color w:val="2E74B5" w:themeColor="accent1" w:themeShade="BF"/>
          <w:sz w:val="20"/>
          <w:szCs w:val="20"/>
        </w:rPr>
        <w:t>versijām bloki vienmēr ir izvērsti un nav savēršami).</w:t>
      </w:r>
    </w:p>
    <w:p w:rsidR="00ED1CFD" w:rsidRPr="003E4934" w:rsidRDefault="00ED1CFD" w:rsidP="00ED1CFD">
      <w:pPr>
        <w:pStyle w:val="Heading1"/>
        <w:keepNext w:val="0"/>
        <w:ind w:left="567" w:hanging="567"/>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t xml:space="preserve">Pamata informācija par </w:t>
      </w:r>
      <w:r w:rsidR="00B36463">
        <w:rPr>
          <w:rFonts w:ascii="Times New Roman" w:hAnsi="Times New Roman" w:cs="Times New Roman"/>
          <w:b/>
          <w:sz w:val="24"/>
          <w:szCs w:val="24"/>
        </w:rPr>
        <w:t>rezultātu ievades veidiem un to izvēli</w:t>
      </w:r>
    </w:p>
    <w:p w:rsidR="00ED1CFD" w:rsidRDefault="00B36463" w:rsidP="00ED1CFD">
      <w:pPr>
        <w:pStyle w:val="Heading2"/>
        <w:keepNext w:val="0"/>
        <w:numPr>
          <w:ilvl w:val="0"/>
          <w:numId w:val="1"/>
        </w:numPr>
        <w:ind w:left="851" w:hanging="284"/>
        <w:rPr>
          <w:rFonts w:ascii="Times New Roman" w:hAnsi="Times New Roman" w:cs="Times New Roman"/>
          <w:b/>
          <w:color w:val="auto"/>
          <w:sz w:val="24"/>
          <w:szCs w:val="24"/>
        </w:rPr>
      </w:pPr>
      <w:r>
        <w:rPr>
          <w:rFonts w:ascii="Times New Roman" w:hAnsi="Times New Roman" w:cs="Times New Roman"/>
          <w:b/>
          <w:color w:val="auto"/>
          <w:sz w:val="24"/>
          <w:szCs w:val="24"/>
        </w:rPr>
        <w:t>Iepirkuma rezultātu ievades veida izvēle</w:t>
      </w:r>
    </w:p>
    <w:p w:rsidR="00B36463" w:rsidRDefault="00B36463" w:rsidP="00D4255C">
      <w:pPr>
        <w:pStyle w:val="Heading3"/>
        <w:keepNext w:val="0"/>
        <w:numPr>
          <w:ilvl w:val="1"/>
          <w:numId w:val="1"/>
        </w:numPr>
        <w:spacing w:before="60" w:after="60"/>
        <w:ind w:left="1276" w:hanging="425"/>
        <w:jc w:val="both"/>
        <w:rPr>
          <w:rFonts w:ascii="Times New Roman" w:hAnsi="Times New Roman" w:cs="Times New Roman"/>
          <w:color w:val="auto"/>
        </w:rPr>
      </w:pPr>
      <w:r>
        <w:rPr>
          <w:rFonts w:ascii="Times New Roman" w:hAnsi="Times New Roman" w:cs="Times New Roman"/>
          <w:color w:val="auto"/>
        </w:rPr>
        <w:t>Pēc iepirkuma atvēr</w:t>
      </w:r>
      <w:r w:rsidR="00D4255C">
        <w:rPr>
          <w:rFonts w:ascii="Times New Roman" w:hAnsi="Times New Roman" w:cs="Times New Roman"/>
          <w:color w:val="auto"/>
        </w:rPr>
        <w:t xml:space="preserve">šanas, </w:t>
      </w:r>
      <w:r w:rsidR="007936D2">
        <w:rPr>
          <w:rFonts w:ascii="Times New Roman" w:hAnsi="Times New Roman" w:cs="Times New Roman"/>
          <w:color w:val="auto"/>
        </w:rPr>
        <w:t>pirms u</w:t>
      </w:r>
      <w:bookmarkStart w:id="0" w:name="_GoBack"/>
      <w:bookmarkEnd w:id="0"/>
      <w:r w:rsidR="007936D2">
        <w:rPr>
          <w:rFonts w:ascii="Times New Roman" w:hAnsi="Times New Roman" w:cs="Times New Roman"/>
          <w:color w:val="auto"/>
        </w:rPr>
        <w:t xml:space="preserve">zsākt iepirkuma rezultātu ievadīšanu vai piedāvājumu vērtēšanu komisijai </w:t>
      </w:r>
      <w:r w:rsidR="00D4255C">
        <w:rPr>
          <w:rFonts w:ascii="Times New Roman" w:hAnsi="Times New Roman" w:cs="Times New Roman"/>
          <w:color w:val="auto"/>
        </w:rPr>
        <w:t>ir jāizvēlas viens no iepirkuma rezultātu ievadīšanas veidiem:</w:t>
      </w:r>
    </w:p>
    <w:p w:rsidR="00D4255C" w:rsidRDefault="00D4255C" w:rsidP="009F188D">
      <w:pPr>
        <w:pStyle w:val="Heading3"/>
        <w:keepNext w:val="0"/>
        <w:numPr>
          <w:ilvl w:val="2"/>
          <w:numId w:val="1"/>
        </w:numPr>
        <w:spacing w:before="60" w:after="60"/>
        <w:ind w:left="1985"/>
        <w:jc w:val="both"/>
        <w:rPr>
          <w:rFonts w:ascii="Times New Roman" w:hAnsi="Times New Roman" w:cs="Times New Roman"/>
          <w:color w:val="000000" w:themeColor="text1"/>
        </w:rPr>
      </w:pPr>
      <w:r>
        <w:rPr>
          <w:rFonts w:ascii="Times New Roman" w:hAnsi="Times New Roman" w:cs="Times New Roman"/>
          <w:color w:val="auto"/>
        </w:rPr>
        <w:t>Vienkāršotā rezultātu ievade</w:t>
      </w:r>
      <w:r>
        <w:rPr>
          <w:rFonts w:ascii="Times New Roman" w:hAnsi="Times New Roman" w:cs="Times New Roman"/>
          <w:color w:val="000000" w:themeColor="text1"/>
        </w:rPr>
        <w:t>;</w:t>
      </w:r>
    </w:p>
    <w:p w:rsidR="00D4255C" w:rsidRPr="00D4255C" w:rsidRDefault="00D4255C" w:rsidP="009F188D">
      <w:pPr>
        <w:pStyle w:val="Heading3"/>
        <w:keepNext w:val="0"/>
        <w:numPr>
          <w:ilvl w:val="2"/>
          <w:numId w:val="1"/>
        </w:numPr>
        <w:spacing w:before="60" w:after="60"/>
        <w:ind w:left="1985"/>
        <w:jc w:val="both"/>
        <w:rPr>
          <w:rFonts w:ascii="Times New Roman" w:hAnsi="Times New Roman" w:cs="Times New Roman"/>
          <w:color w:val="auto"/>
        </w:rPr>
      </w:pPr>
      <w:r w:rsidRPr="00D4255C">
        <w:rPr>
          <w:rFonts w:ascii="Times New Roman" w:hAnsi="Times New Roman" w:cs="Times New Roman"/>
          <w:color w:val="auto"/>
        </w:rPr>
        <w:t>Izvērstā rezultātu ievade</w:t>
      </w:r>
      <w:r>
        <w:rPr>
          <w:rFonts w:ascii="Times New Roman" w:hAnsi="Times New Roman" w:cs="Times New Roman"/>
          <w:color w:val="auto"/>
        </w:rPr>
        <w:t>.</w:t>
      </w:r>
    </w:p>
    <w:p w:rsidR="007936D2" w:rsidRDefault="00D4255C" w:rsidP="00D4255C">
      <w:pPr>
        <w:pStyle w:val="Heading3"/>
        <w:keepNext w:val="0"/>
        <w:spacing w:before="60" w:after="60"/>
        <w:ind w:left="1276"/>
        <w:jc w:val="both"/>
        <w:rPr>
          <w:rFonts w:ascii="Times New Roman" w:hAnsi="Times New Roman" w:cs="Times New Roman"/>
          <w:color w:val="auto"/>
        </w:rPr>
      </w:pPr>
      <w:r w:rsidRPr="00D4255C">
        <w:rPr>
          <w:rFonts w:ascii="Times New Roman" w:hAnsi="Times New Roman" w:cs="Times New Roman"/>
          <w:color w:val="auto"/>
        </w:rPr>
        <w:t>Kamēr izvēle netiks veikta, uzsākt piedāvājumu vērtēšanu sistēmā vai ievadīt iepirkuma rezultātus nebūs iespējams</w:t>
      </w:r>
      <w:r>
        <w:rPr>
          <w:rFonts w:ascii="Times New Roman" w:hAnsi="Times New Roman" w:cs="Times New Roman"/>
          <w:color w:val="auto"/>
        </w:rPr>
        <w:t>. Iepirkuma rezultātu ievades veida izvēli veic viens iepirkuma komisijas loceklis</w:t>
      </w:r>
      <w:r w:rsidR="007936D2">
        <w:rPr>
          <w:rFonts w:ascii="Times New Roman" w:hAnsi="Times New Roman" w:cs="Times New Roman"/>
          <w:color w:val="auto"/>
        </w:rPr>
        <w:t xml:space="preserve">, kuram </w:t>
      </w:r>
      <w:r w:rsidR="007936D2">
        <w:rPr>
          <w:rFonts w:ascii="Times New Roman" w:hAnsi="Times New Roman" w:cs="Times New Roman"/>
          <w:color w:val="auto"/>
        </w:rPr>
        <w:t xml:space="preserve">attiecīgā iepirkuma šķirkļa “Piedāvājumi” </w:t>
      </w:r>
      <w:proofErr w:type="spellStart"/>
      <w:r w:rsidR="007936D2">
        <w:rPr>
          <w:rFonts w:ascii="Times New Roman" w:hAnsi="Times New Roman" w:cs="Times New Roman"/>
          <w:color w:val="auto"/>
        </w:rPr>
        <w:t>apakššķirkli</w:t>
      </w:r>
      <w:proofErr w:type="spellEnd"/>
      <w:r w:rsidR="007936D2" w:rsidRPr="00D4255C">
        <w:rPr>
          <w:rFonts w:ascii="Times New Roman" w:hAnsi="Times New Roman" w:cs="Times New Roman"/>
          <w:color w:val="auto"/>
        </w:rPr>
        <w:t xml:space="preserve"> “Vērtēšana”</w:t>
      </w:r>
      <w:r w:rsidR="007936D2">
        <w:rPr>
          <w:rFonts w:ascii="Times New Roman" w:hAnsi="Times New Roman" w:cs="Times New Roman"/>
          <w:color w:val="auto"/>
        </w:rPr>
        <w:t xml:space="preserve"> ir jānorāda komisijas izvelēties rezultātu ievadīšanas veids. </w:t>
      </w:r>
      <w:r w:rsidR="007936D2" w:rsidRPr="00CC242E">
        <w:rPr>
          <w:rFonts w:ascii="Times New Roman" w:hAnsi="Times New Roman" w:cs="Times New Roman"/>
          <w:b/>
          <w:color w:val="auto"/>
        </w:rPr>
        <w:t>Pēc darbības apstiprināšanas iepirkuma rezultātu ievadīšanas veidu mainīt nav iespējams</w:t>
      </w:r>
      <w:r w:rsidR="007936D2">
        <w:rPr>
          <w:rFonts w:ascii="Times New Roman" w:hAnsi="Times New Roman" w:cs="Times New Roman"/>
          <w:color w:val="auto"/>
        </w:rPr>
        <w:t>.</w:t>
      </w:r>
    </w:p>
    <w:p w:rsidR="00D4255C" w:rsidRPr="00D4255C" w:rsidRDefault="007936D2" w:rsidP="00D4255C">
      <w:pPr>
        <w:pStyle w:val="Heading3"/>
        <w:keepNext w:val="0"/>
        <w:spacing w:before="60" w:after="60"/>
        <w:ind w:left="1276"/>
        <w:jc w:val="both"/>
        <w:rPr>
          <w:rFonts w:ascii="Times New Roman" w:hAnsi="Times New Roman" w:cs="Times New Roman"/>
          <w:color w:val="auto"/>
        </w:rPr>
      </w:pPr>
      <w:r w:rsidRPr="007936D2">
        <w:rPr>
          <w:rFonts w:ascii="Times New Roman" w:hAnsi="Times New Roman" w:cs="Times New Roman"/>
          <w:color w:val="auto"/>
        </w:rPr>
        <w:drawing>
          <wp:inline distT="0" distB="0" distL="0" distR="0" wp14:anchorId="0A58B79D" wp14:editId="14952CFE">
            <wp:extent cx="5306695" cy="2367831"/>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28796" cy="2377692"/>
                    </a:xfrm>
                    <a:prstGeom prst="rect">
                      <a:avLst/>
                    </a:prstGeom>
                  </pic:spPr>
                </pic:pic>
              </a:graphicData>
            </a:graphic>
          </wp:inline>
        </w:drawing>
      </w:r>
    </w:p>
    <w:p w:rsidR="00EB2826" w:rsidRDefault="00EB2826" w:rsidP="00EB2826">
      <w:pPr>
        <w:pStyle w:val="Heading2"/>
        <w:keepNext w:val="0"/>
        <w:numPr>
          <w:ilvl w:val="0"/>
          <w:numId w:val="1"/>
        </w:numPr>
        <w:spacing w:before="120"/>
        <w:ind w:left="851" w:hanging="284"/>
        <w:rPr>
          <w:rFonts w:ascii="Times New Roman" w:hAnsi="Times New Roman" w:cs="Times New Roman"/>
          <w:b/>
          <w:color w:val="auto"/>
          <w:sz w:val="24"/>
          <w:szCs w:val="24"/>
        </w:rPr>
      </w:pPr>
      <w:r>
        <w:rPr>
          <w:rFonts w:ascii="Times New Roman" w:hAnsi="Times New Roman" w:cs="Times New Roman"/>
          <w:b/>
          <w:color w:val="auto"/>
          <w:sz w:val="24"/>
          <w:szCs w:val="24"/>
        </w:rPr>
        <w:t>Būtiskākās atšķirības starp i</w:t>
      </w:r>
      <w:r>
        <w:rPr>
          <w:rFonts w:ascii="Times New Roman" w:hAnsi="Times New Roman" w:cs="Times New Roman"/>
          <w:b/>
          <w:color w:val="auto"/>
          <w:sz w:val="24"/>
          <w:szCs w:val="24"/>
        </w:rPr>
        <w:t>epirkuma rezultātu</w:t>
      </w:r>
      <w:r>
        <w:rPr>
          <w:rFonts w:ascii="Times New Roman" w:hAnsi="Times New Roman" w:cs="Times New Roman"/>
          <w:b/>
          <w:color w:val="auto"/>
          <w:sz w:val="24"/>
          <w:szCs w:val="24"/>
        </w:rPr>
        <w:t xml:space="preserve"> ievades veidiem</w:t>
      </w:r>
    </w:p>
    <w:p w:rsidR="00211E18" w:rsidRDefault="00211E18" w:rsidP="00B36463">
      <w:pPr>
        <w:pStyle w:val="Heading3"/>
        <w:keepNext w:val="0"/>
        <w:numPr>
          <w:ilvl w:val="1"/>
          <w:numId w:val="1"/>
        </w:numPr>
        <w:spacing w:before="60" w:after="60"/>
        <w:ind w:left="1276" w:hanging="425"/>
        <w:jc w:val="both"/>
        <w:rPr>
          <w:rFonts w:ascii="Times New Roman" w:hAnsi="Times New Roman" w:cs="Times New Roman"/>
          <w:color w:val="auto"/>
        </w:rPr>
      </w:pPr>
      <w:r w:rsidRPr="00211E18">
        <w:rPr>
          <w:rFonts w:ascii="Times New Roman" w:hAnsi="Times New Roman" w:cs="Times New Roman"/>
          <w:b/>
          <w:i/>
          <w:color w:val="auto"/>
        </w:rPr>
        <w:t>Vienkāršotā rezultātu ievade</w:t>
      </w:r>
      <w:r>
        <w:rPr>
          <w:rFonts w:ascii="Times New Roman" w:hAnsi="Times New Roman" w:cs="Times New Roman"/>
          <w:color w:val="auto"/>
        </w:rPr>
        <w:t xml:space="preserve"> ir paredzēta tikai ārpus sistēmas novērtēto piedāvājumu vērtēšanas rezultātu ievadei izlaižot vairākus posmus, kuri ir obligāti izvēstās rezultātu ievades gadījumā . Šāds rezultātu ievades veids ir paredzēts tikai gadījumiem, kad komisija jau ir paņēmusī lēmumu par iepirkuma rezultātiem un sistēmā ir nepieciešams tikai ievadīt </w:t>
      </w:r>
      <w:r w:rsidR="00004E34">
        <w:rPr>
          <w:rFonts w:ascii="Times New Roman" w:hAnsi="Times New Roman" w:cs="Times New Roman"/>
          <w:color w:val="auto"/>
        </w:rPr>
        <w:t xml:space="preserve">iepirkuma </w:t>
      </w:r>
      <w:r>
        <w:rPr>
          <w:rFonts w:ascii="Times New Roman" w:hAnsi="Times New Roman" w:cs="Times New Roman"/>
          <w:color w:val="auto"/>
        </w:rPr>
        <w:t>gala rezultātu. Galvenie vienkāršotās rezultātu ievades ierobežojumi ir šādi</w:t>
      </w:r>
      <w:r w:rsidR="00004E34">
        <w:rPr>
          <w:rFonts w:ascii="Times New Roman" w:hAnsi="Times New Roman" w:cs="Times New Roman"/>
          <w:color w:val="auto"/>
        </w:rPr>
        <w:t xml:space="preserve"> (lūdzu ņemt vērā, komisijai joprojām paliek iespēja pievienot informāciju par ārpus sistēmā notiekošajām sēdēm </w:t>
      </w:r>
      <w:r w:rsidR="00004E34">
        <w:rPr>
          <w:rFonts w:ascii="Times New Roman" w:hAnsi="Times New Roman" w:cs="Times New Roman"/>
          <w:color w:val="auto"/>
        </w:rPr>
        <w:t>nepieciešamības gadījumā</w:t>
      </w:r>
      <w:r w:rsidR="00004E34">
        <w:rPr>
          <w:rFonts w:ascii="Times New Roman" w:hAnsi="Times New Roman" w:cs="Times New Roman"/>
          <w:color w:val="auto"/>
        </w:rPr>
        <w:t xml:space="preserve"> pievienojot sistēmā visus ar iepirkuma norisi saistītos protokolus)</w:t>
      </w:r>
      <w:r>
        <w:rPr>
          <w:rFonts w:ascii="Times New Roman" w:hAnsi="Times New Roman" w:cs="Times New Roman"/>
          <w:color w:val="auto"/>
        </w:rPr>
        <w:t>:</w:t>
      </w:r>
    </w:p>
    <w:p w:rsidR="00211E18" w:rsidRDefault="00211E18" w:rsidP="009F188D">
      <w:pPr>
        <w:pStyle w:val="Heading3"/>
        <w:keepNext w:val="0"/>
        <w:numPr>
          <w:ilvl w:val="2"/>
          <w:numId w:val="1"/>
        </w:numPr>
        <w:spacing w:before="60" w:after="60"/>
        <w:ind w:left="1985"/>
        <w:jc w:val="both"/>
        <w:rPr>
          <w:rFonts w:ascii="Times New Roman" w:hAnsi="Times New Roman" w:cs="Times New Roman"/>
          <w:color w:val="auto"/>
        </w:rPr>
      </w:pPr>
      <w:r>
        <w:rPr>
          <w:rFonts w:ascii="Times New Roman" w:hAnsi="Times New Roman" w:cs="Times New Roman"/>
          <w:color w:val="auto"/>
        </w:rPr>
        <w:t xml:space="preserve">nav paredzēta iespēja ievadīt informāciju par pretendentu/kandidātu </w:t>
      </w:r>
      <w:r>
        <w:rPr>
          <w:rFonts w:ascii="Times New Roman" w:hAnsi="Times New Roman" w:cs="Times New Roman"/>
          <w:color w:val="auto"/>
        </w:rPr>
        <w:t xml:space="preserve">atbilstību iepirkuma dokumentācijā </w:t>
      </w:r>
      <w:r>
        <w:rPr>
          <w:rFonts w:ascii="Times New Roman" w:hAnsi="Times New Roman" w:cs="Times New Roman"/>
          <w:color w:val="auto"/>
        </w:rPr>
        <w:t>iekļautajiem</w:t>
      </w:r>
      <w:r>
        <w:rPr>
          <w:rFonts w:ascii="Times New Roman" w:hAnsi="Times New Roman" w:cs="Times New Roman"/>
          <w:color w:val="auto"/>
        </w:rPr>
        <w:t xml:space="preserve"> nosacījumiem</w:t>
      </w:r>
      <w:r w:rsidR="00004E34">
        <w:rPr>
          <w:rFonts w:ascii="Times New Roman" w:hAnsi="Times New Roman" w:cs="Times New Roman"/>
          <w:color w:val="auto"/>
        </w:rPr>
        <w:t>;</w:t>
      </w:r>
    </w:p>
    <w:p w:rsidR="00004E34" w:rsidRDefault="00004E34" w:rsidP="009F188D">
      <w:pPr>
        <w:pStyle w:val="Heading3"/>
        <w:keepNext w:val="0"/>
        <w:numPr>
          <w:ilvl w:val="2"/>
          <w:numId w:val="1"/>
        </w:numPr>
        <w:spacing w:before="60" w:after="60"/>
        <w:ind w:left="1985"/>
        <w:jc w:val="both"/>
        <w:rPr>
          <w:rFonts w:ascii="Times New Roman" w:hAnsi="Times New Roman" w:cs="Times New Roman"/>
          <w:color w:val="auto"/>
        </w:rPr>
      </w:pPr>
      <w:r>
        <w:rPr>
          <w:rFonts w:ascii="Times New Roman" w:hAnsi="Times New Roman" w:cs="Times New Roman"/>
          <w:color w:val="auto"/>
        </w:rPr>
        <w:t xml:space="preserve">nav paredzēta iespēja ievadīt </w:t>
      </w:r>
      <w:r w:rsidRPr="00A33FDC">
        <w:rPr>
          <w:rFonts w:ascii="Times New Roman" w:hAnsi="Times New Roman" w:cs="Times New Roman"/>
          <w:color w:val="auto"/>
        </w:rPr>
        <w:t>informāciju</w:t>
      </w:r>
      <w:r>
        <w:rPr>
          <w:rFonts w:ascii="Times New Roman" w:hAnsi="Times New Roman" w:cs="Times New Roman"/>
          <w:color w:val="auto"/>
        </w:rPr>
        <w:t xml:space="preserve"> par </w:t>
      </w:r>
      <w:r>
        <w:rPr>
          <w:rFonts w:ascii="Times New Roman" w:hAnsi="Times New Roman" w:cs="Times New Roman"/>
          <w:color w:val="auto"/>
        </w:rPr>
        <w:t>komisijas locekļu individuālajiem vērtējumiem;</w:t>
      </w:r>
    </w:p>
    <w:p w:rsidR="00004E34" w:rsidRDefault="00004E34" w:rsidP="009F188D">
      <w:pPr>
        <w:pStyle w:val="Heading3"/>
        <w:keepNext w:val="0"/>
        <w:numPr>
          <w:ilvl w:val="2"/>
          <w:numId w:val="1"/>
        </w:numPr>
        <w:spacing w:before="60" w:after="60"/>
        <w:ind w:left="1985"/>
        <w:jc w:val="both"/>
        <w:rPr>
          <w:rFonts w:ascii="Times New Roman" w:hAnsi="Times New Roman" w:cs="Times New Roman"/>
          <w:color w:val="auto"/>
        </w:rPr>
      </w:pPr>
      <w:r w:rsidRPr="00004E34">
        <w:rPr>
          <w:rFonts w:ascii="Times New Roman" w:hAnsi="Times New Roman" w:cs="Times New Roman"/>
          <w:color w:val="auto"/>
        </w:rPr>
        <w:t>ar piedāvājumu vērtēšanu vai lēmuma pieņemšanu saistīto sēžu pievienošana nav obligāta</w:t>
      </w:r>
      <w:r>
        <w:rPr>
          <w:rFonts w:ascii="Times New Roman" w:hAnsi="Times New Roman" w:cs="Times New Roman"/>
          <w:color w:val="auto"/>
        </w:rPr>
        <w:t>.</w:t>
      </w:r>
    </w:p>
    <w:p w:rsidR="008C4A07" w:rsidRDefault="00004E34" w:rsidP="00004E34">
      <w:pPr>
        <w:pStyle w:val="Heading3"/>
        <w:keepNext w:val="0"/>
        <w:numPr>
          <w:ilvl w:val="1"/>
          <w:numId w:val="1"/>
        </w:numPr>
        <w:spacing w:before="60" w:after="60"/>
        <w:ind w:left="1276" w:hanging="425"/>
        <w:jc w:val="both"/>
        <w:rPr>
          <w:rFonts w:ascii="Times New Roman" w:hAnsi="Times New Roman" w:cs="Times New Roman"/>
          <w:color w:val="auto"/>
        </w:rPr>
      </w:pPr>
      <w:r>
        <w:rPr>
          <w:rFonts w:ascii="Times New Roman" w:hAnsi="Times New Roman" w:cs="Times New Roman"/>
          <w:b/>
          <w:i/>
          <w:color w:val="auto"/>
        </w:rPr>
        <w:lastRenderedPageBreak/>
        <w:t>Izvērstā</w:t>
      </w:r>
      <w:r w:rsidRPr="00211E18">
        <w:rPr>
          <w:rFonts w:ascii="Times New Roman" w:hAnsi="Times New Roman" w:cs="Times New Roman"/>
          <w:b/>
          <w:i/>
          <w:color w:val="auto"/>
        </w:rPr>
        <w:t xml:space="preserve"> rezultātu ievade</w:t>
      </w:r>
      <w:r>
        <w:rPr>
          <w:rFonts w:ascii="Times New Roman" w:hAnsi="Times New Roman" w:cs="Times New Roman"/>
          <w:color w:val="auto"/>
        </w:rPr>
        <w:t xml:space="preserve"> </w:t>
      </w:r>
      <w:r>
        <w:rPr>
          <w:rFonts w:ascii="Times New Roman" w:hAnsi="Times New Roman" w:cs="Times New Roman"/>
          <w:color w:val="auto"/>
        </w:rPr>
        <w:t xml:space="preserve">sniedz lietotājiem iespēju </w:t>
      </w:r>
      <w:r w:rsidR="002F1649">
        <w:rPr>
          <w:rFonts w:ascii="Times New Roman" w:hAnsi="Times New Roman" w:cs="Times New Roman"/>
          <w:color w:val="auto"/>
        </w:rPr>
        <w:t xml:space="preserve">veikt </w:t>
      </w:r>
      <w:r>
        <w:rPr>
          <w:rFonts w:ascii="Times New Roman" w:hAnsi="Times New Roman" w:cs="Times New Roman"/>
          <w:color w:val="auto"/>
        </w:rPr>
        <w:t xml:space="preserve">detalizētas informācijas ievadi par </w:t>
      </w:r>
      <w:r w:rsidR="002F1649">
        <w:rPr>
          <w:rFonts w:ascii="Times New Roman" w:hAnsi="Times New Roman" w:cs="Times New Roman"/>
          <w:color w:val="auto"/>
        </w:rPr>
        <w:t xml:space="preserve">visu </w:t>
      </w:r>
      <w:r>
        <w:rPr>
          <w:rFonts w:ascii="Times New Roman" w:hAnsi="Times New Roman" w:cs="Times New Roman"/>
          <w:color w:val="auto"/>
        </w:rPr>
        <w:t>piedāvājumu/pieteikumu vērtēšanas procesu</w:t>
      </w:r>
      <w:r w:rsidR="002F1649">
        <w:rPr>
          <w:rFonts w:ascii="Times New Roman" w:hAnsi="Times New Roman" w:cs="Times New Roman"/>
          <w:color w:val="auto"/>
        </w:rPr>
        <w:t>. Izvērtēšanas rezultātu ievades gadījumā komisija ir iespēja</w:t>
      </w:r>
      <w:r>
        <w:rPr>
          <w:rFonts w:ascii="Times New Roman" w:hAnsi="Times New Roman" w:cs="Times New Roman"/>
          <w:color w:val="auto"/>
        </w:rPr>
        <w:t xml:space="preserve"> </w:t>
      </w:r>
      <w:r w:rsidR="002F1649">
        <w:rPr>
          <w:rFonts w:ascii="Times New Roman" w:hAnsi="Times New Roman" w:cs="Times New Roman"/>
          <w:color w:val="auto"/>
        </w:rPr>
        <w:t xml:space="preserve">gan pievienot informāciju par sēdēm, kuras notikušas ārpus EIS, gan veidot elektroniskas sēdes, kur komisijas locekļiem būs jāievada savs balsojums tiešsaistes režīmā. </w:t>
      </w:r>
      <w:r w:rsidR="008C4A07">
        <w:rPr>
          <w:rFonts w:ascii="Times New Roman" w:hAnsi="Times New Roman" w:cs="Times New Roman"/>
          <w:color w:val="auto"/>
        </w:rPr>
        <w:t>Iepirkuma uzvarētāju norādīšana izvērstās rezultātu ievades gadījumā vienmēr notiek divos etapos:</w:t>
      </w:r>
    </w:p>
    <w:p w:rsidR="008C4A07" w:rsidRDefault="008C4A07" w:rsidP="009F188D">
      <w:pPr>
        <w:pStyle w:val="Heading3"/>
        <w:keepNext w:val="0"/>
        <w:numPr>
          <w:ilvl w:val="2"/>
          <w:numId w:val="1"/>
        </w:numPr>
        <w:spacing w:before="60" w:after="60"/>
        <w:ind w:left="1985"/>
        <w:jc w:val="both"/>
        <w:rPr>
          <w:rFonts w:ascii="Times New Roman" w:hAnsi="Times New Roman" w:cs="Times New Roman"/>
          <w:color w:val="auto"/>
        </w:rPr>
      </w:pPr>
      <w:r>
        <w:rPr>
          <w:rFonts w:ascii="Times New Roman" w:hAnsi="Times New Roman" w:cs="Times New Roman"/>
          <w:color w:val="auto"/>
        </w:rPr>
        <w:t>Atbilstības pārbaužu noradīšana - tiek atlasīti pretendenti vai kandidāti, kas atbilst iepirkuma dokumentācijā izvirzītajām atlases, tehniskajām un</w:t>
      </w:r>
      <w:r w:rsidR="009F188D">
        <w:rPr>
          <w:rFonts w:ascii="Times New Roman" w:hAnsi="Times New Roman" w:cs="Times New Roman"/>
          <w:color w:val="auto"/>
        </w:rPr>
        <w:t>/vai</w:t>
      </w:r>
      <w:r>
        <w:rPr>
          <w:rFonts w:ascii="Times New Roman" w:hAnsi="Times New Roman" w:cs="Times New Roman"/>
          <w:color w:val="auto"/>
        </w:rPr>
        <w:t xml:space="preserve"> finanšu prasībām;</w:t>
      </w:r>
    </w:p>
    <w:p w:rsidR="008C4A07" w:rsidRDefault="008C4A07" w:rsidP="009F188D">
      <w:pPr>
        <w:pStyle w:val="Heading3"/>
        <w:keepNext w:val="0"/>
        <w:numPr>
          <w:ilvl w:val="2"/>
          <w:numId w:val="1"/>
        </w:numPr>
        <w:spacing w:before="60" w:after="60"/>
        <w:ind w:left="1985"/>
        <w:jc w:val="both"/>
        <w:rPr>
          <w:rFonts w:ascii="Times New Roman" w:hAnsi="Times New Roman" w:cs="Times New Roman"/>
          <w:color w:val="auto"/>
        </w:rPr>
      </w:pPr>
      <w:r>
        <w:rPr>
          <w:rFonts w:ascii="Times New Roman" w:hAnsi="Times New Roman" w:cs="Times New Roman"/>
          <w:color w:val="auto"/>
        </w:rPr>
        <w:t>Rezultātu ievadīšana – tiek norādīti pretendenti, kuriem tiek piešķir</w:t>
      </w:r>
      <w:r w:rsidR="009F188D">
        <w:rPr>
          <w:rFonts w:ascii="Times New Roman" w:hAnsi="Times New Roman" w:cs="Times New Roman"/>
          <w:color w:val="auto"/>
        </w:rPr>
        <w:t>amas</w:t>
      </w:r>
      <w:r>
        <w:rPr>
          <w:rFonts w:ascii="Times New Roman" w:hAnsi="Times New Roman" w:cs="Times New Roman"/>
          <w:color w:val="auto"/>
        </w:rPr>
        <w:t xml:space="preserve"> līguma slēgšanas tiesības, vai kandidāti, kuri atlasīti nākošai iepirkumu kārtai.</w:t>
      </w:r>
    </w:p>
    <w:p w:rsidR="008C4A07" w:rsidRPr="008C4A07" w:rsidRDefault="008C4A07" w:rsidP="008C4A07">
      <w:pPr>
        <w:pStyle w:val="Heading3"/>
        <w:keepNext w:val="0"/>
        <w:spacing w:before="60" w:after="60"/>
        <w:ind w:left="1276"/>
        <w:jc w:val="both"/>
        <w:rPr>
          <w:rFonts w:ascii="Times New Roman" w:hAnsi="Times New Roman" w:cs="Times New Roman"/>
          <w:color w:val="auto"/>
        </w:rPr>
      </w:pPr>
      <w:r w:rsidRPr="008C4A07">
        <w:rPr>
          <w:rFonts w:ascii="Times New Roman" w:hAnsi="Times New Roman" w:cs="Times New Roman"/>
          <w:color w:val="auto"/>
        </w:rPr>
        <w:t>Par katru no vērtēšanas etapiem, komisijai obligāti</w:t>
      </w:r>
      <w:r>
        <w:rPr>
          <w:rFonts w:ascii="Times New Roman" w:hAnsi="Times New Roman" w:cs="Times New Roman"/>
          <w:color w:val="auto"/>
        </w:rPr>
        <w:t xml:space="preserve"> </w:t>
      </w:r>
      <w:r w:rsidRPr="008C4A07">
        <w:rPr>
          <w:rFonts w:ascii="Times New Roman" w:hAnsi="Times New Roman" w:cs="Times New Roman"/>
          <w:color w:val="auto"/>
        </w:rPr>
        <w:t>jāpievieno atbilstošs sēdes protokols</w:t>
      </w:r>
      <w:r>
        <w:rPr>
          <w:rFonts w:ascii="Times New Roman" w:hAnsi="Times New Roman" w:cs="Times New Roman"/>
          <w:color w:val="auto"/>
        </w:rPr>
        <w:t>;</w:t>
      </w:r>
    </w:p>
    <w:p w:rsidR="002F1649" w:rsidRDefault="002F1649" w:rsidP="00004E34">
      <w:pPr>
        <w:pStyle w:val="Heading3"/>
        <w:keepNext w:val="0"/>
        <w:numPr>
          <w:ilvl w:val="1"/>
          <w:numId w:val="1"/>
        </w:numPr>
        <w:spacing w:before="60" w:after="60"/>
        <w:ind w:left="1276" w:hanging="425"/>
        <w:jc w:val="both"/>
        <w:rPr>
          <w:rFonts w:ascii="Times New Roman" w:hAnsi="Times New Roman" w:cs="Times New Roman"/>
          <w:color w:val="auto"/>
        </w:rPr>
      </w:pPr>
      <w:r>
        <w:rPr>
          <w:rFonts w:ascii="Times New Roman" w:hAnsi="Times New Roman" w:cs="Times New Roman"/>
          <w:color w:val="auto"/>
        </w:rPr>
        <w:t>Zemāk galvenās atšķirības starp dažādiem vērtēšanas veidiem ir apkopotas tabulas veidā.</w:t>
      </w:r>
    </w:p>
    <w:tbl>
      <w:tblPr>
        <w:tblStyle w:val="TableGrid"/>
        <w:tblW w:w="0" w:type="auto"/>
        <w:tblInd w:w="62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758"/>
        <w:gridCol w:w="2268"/>
        <w:gridCol w:w="1976"/>
        <w:gridCol w:w="1976"/>
      </w:tblGrid>
      <w:tr w:rsidR="00126D56" w:rsidRPr="00D376A5" w:rsidTr="00126D56">
        <w:tc>
          <w:tcPr>
            <w:tcW w:w="2758" w:type="dxa"/>
            <w:vMerge w:val="restart"/>
            <w:tcBorders>
              <w:top w:val="single" w:sz="12" w:space="0" w:color="auto"/>
              <w:bottom w:val="single" w:sz="2" w:space="0" w:color="auto"/>
            </w:tcBorders>
            <w:vAlign w:val="center"/>
          </w:tcPr>
          <w:p w:rsidR="002269CE" w:rsidRPr="00D376A5" w:rsidRDefault="009C53F7" w:rsidP="009C53F7">
            <w:pPr>
              <w:jc w:val="center"/>
              <w:rPr>
                <w:sz w:val="20"/>
                <w:szCs w:val="20"/>
              </w:rPr>
            </w:pPr>
            <w:r w:rsidRPr="009C53F7">
              <w:rPr>
                <w:b/>
                <w:sz w:val="20"/>
                <w:szCs w:val="20"/>
              </w:rPr>
              <w:t>Rezultātu ievadīšanas posmi un iespējas</w:t>
            </w:r>
          </w:p>
        </w:tc>
        <w:tc>
          <w:tcPr>
            <w:tcW w:w="2268" w:type="dxa"/>
            <w:vMerge w:val="restart"/>
            <w:tcBorders>
              <w:top w:val="single" w:sz="12" w:space="0" w:color="auto"/>
              <w:bottom w:val="single" w:sz="2" w:space="0" w:color="auto"/>
            </w:tcBorders>
            <w:vAlign w:val="center"/>
          </w:tcPr>
          <w:p w:rsidR="002269CE" w:rsidRPr="00D376A5" w:rsidRDefault="002269CE" w:rsidP="00D376A5">
            <w:pPr>
              <w:jc w:val="center"/>
              <w:rPr>
                <w:b/>
                <w:sz w:val="20"/>
                <w:szCs w:val="20"/>
              </w:rPr>
            </w:pPr>
            <w:r w:rsidRPr="00D376A5">
              <w:rPr>
                <w:b/>
                <w:sz w:val="20"/>
                <w:szCs w:val="20"/>
              </w:rPr>
              <w:t>Vienkāršotā rezultātu ievade</w:t>
            </w:r>
          </w:p>
        </w:tc>
        <w:tc>
          <w:tcPr>
            <w:tcW w:w="3952" w:type="dxa"/>
            <w:gridSpan w:val="2"/>
            <w:tcBorders>
              <w:top w:val="single" w:sz="12" w:space="0" w:color="auto"/>
              <w:bottom w:val="single" w:sz="2" w:space="0" w:color="auto"/>
            </w:tcBorders>
            <w:vAlign w:val="center"/>
          </w:tcPr>
          <w:p w:rsidR="002269CE" w:rsidRPr="00D376A5" w:rsidRDefault="002269CE" w:rsidP="00D376A5">
            <w:pPr>
              <w:jc w:val="center"/>
              <w:rPr>
                <w:b/>
                <w:sz w:val="20"/>
                <w:szCs w:val="20"/>
              </w:rPr>
            </w:pPr>
            <w:r w:rsidRPr="00D376A5">
              <w:rPr>
                <w:b/>
                <w:sz w:val="20"/>
                <w:szCs w:val="20"/>
              </w:rPr>
              <w:t>Izvērstā rezultātu ievade</w:t>
            </w:r>
          </w:p>
        </w:tc>
      </w:tr>
      <w:tr w:rsidR="009C53F7" w:rsidRPr="00D376A5" w:rsidTr="00126D56">
        <w:tc>
          <w:tcPr>
            <w:tcW w:w="2758" w:type="dxa"/>
            <w:vMerge/>
            <w:tcBorders>
              <w:top w:val="single" w:sz="2" w:space="0" w:color="auto"/>
              <w:bottom w:val="single" w:sz="12" w:space="0" w:color="auto"/>
            </w:tcBorders>
          </w:tcPr>
          <w:p w:rsidR="002269CE" w:rsidRPr="00D376A5" w:rsidRDefault="002269CE" w:rsidP="00D376A5">
            <w:pPr>
              <w:rPr>
                <w:sz w:val="20"/>
                <w:szCs w:val="20"/>
              </w:rPr>
            </w:pPr>
          </w:p>
        </w:tc>
        <w:tc>
          <w:tcPr>
            <w:tcW w:w="2268" w:type="dxa"/>
            <w:vMerge/>
            <w:tcBorders>
              <w:top w:val="single" w:sz="2" w:space="0" w:color="auto"/>
              <w:bottom w:val="single" w:sz="12" w:space="0" w:color="auto"/>
            </w:tcBorders>
            <w:vAlign w:val="center"/>
          </w:tcPr>
          <w:p w:rsidR="002269CE" w:rsidRPr="00D376A5" w:rsidRDefault="002269CE" w:rsidP="00D376A5">
            <w:pPr>
              <w:jc w:val="center"/>
              <w:rPr>
                <w:sz w:val="20"/>
                <w:szCs w:val="20"/>
              </w:rPr>
            </w:pPr>
          </w:p>
        </w:tc>
        <w:tc>
          <w:tcPr>
            <w:tcW w:w="1976" w:type="dxa"/>
            <w:tcBorders>
              <w:top w:val="single" w:sz="2" w:space="0" w:color="auto"/>
              <w:bottom w:val="single" w:sz="12" w:space="0" w:color="auto"/>
            </w:tcBorders>
            <w:vAlign w:val="center"/>
          </w:tcPr>
          <w:p w:rsidR="002269CE" w:rsidRPr="00D376A5" w:rsidRDefault="00D376A5" w:rsidP="00D376A5">
            <w:pPr>
              <w:jc w:val="center"/>
              <w:rPr>
                <w:i/>
                <w:sz w:val="20"/>
                <w:szCs w:val="20"/>
              </w:rPr>
            </w:pPr>
            <w:r w:rsidRPr="00D376A5">
              <w:rPr>
                <w:i/>
                <w:sz w:val="20"/>
                <w:szCs w:val="20"/>
              </w:rPr>
              <w:t>Ārpus</w:t>
            </w:r>
            <w:r w:rsidR="002269CE" w:rsidRPr="00D376A5">
              <w:rPr>
                <w:i/>
                <w:sz w:val="20"/>
                <w:szCs w:val="20"/>
              </w:rPr>
              <w:t xml:space="preserve"> EIS pieņemtā lēmuma ievadīšana</w:t>
            </w:r>
          </w:p>
        </w:tc>
        <w:tc>
          <w:tcPr>
            <w:tcW w:w="1976" w:type="dxa"/>
            <w:tcBorders>
              <w:top w:val="single" w:sz="2" w:space="0" w:color="auto"/>
              <w:bottom w:val="single" w:sz="12" w:space="0" w:color="auto"/>
            </w:tcBorders>
            <w:vAlign w:val="center"/>
          </w:tcPr>
          <w:p w:rsidR="002269CE" w:rsidRPr="00D376A5" w:rsidRDefault="002269CE" w:rsidP="00D376A5">
            <w:pPr>
              <w:jc w:val="center"/>
              <w:rPr>
                <w:i/>
                <w:sz w:val="20"/>
                <w:szCs w:val="20"/>
              </w:rPr>
            </w:pPr>
            <w:r w:rsidRPr="00D376A5">
              <w:rPr>
                <w:i/>
                <w:sz w:val="20"/>
                <w:szCs w:val="20"/>
              </w:rPr>
              <w:t>Lēmuma pieņemšana EIS (</w:t>
            </w:r>
            <w:r w:rsidR="00D376A5" w:rsidRPr="00D376A5">
              <w:rPr>
                <w:i/>
                <w:sz w:val="20"/>
                <w:szCs w:val="20"/>
              </w:rPr>
              <w:t>e-sēdēs)</w:t>
            </w:r>
          </w:p>
        </w:tc>
      </w:tr>
      <w:tr w:rsidR="009C53F7" w:rsidRPr="00D376A5" w:rsidTr="00126D56">
        <w:tc>
          <w:tcPr>
            <w:tcW w:w="2758" w:type="dxa"/>
            <w:tcBorders>
              <w:top w:val="single" w:sz="12" w:space="0" w:color="auto"/>
            </w:tcBorders>
            <w:vAlign w:val="center"/>
          </w:tcPr>
          <w:p w:rsidR="009C53F7" w:rsidRPr="00D376A5" w:rsidRDefault="002F6B12" w:rsidP="002F6B12">
            <w:pPr>
              <w:rPr>
                <w:sz w:val="20"/>
                <w:szCs w:val="20"/>
              </w:rPr>
            </w:pPr>
            <w:r>
              <w:rPr>
                <w:sz w:val="20"/>
                <w:szCs w:val="20"/>
              </w:rPr>
              <w:t>Iespēja ievadīt atbilstības pārbaužu vērtējumus</w:t>
            </w:r>
          </w:p>
        </w:tc>
        <w:tc>
          <w:tcPr>
            <w:tcW w:w="2268" w:type="dxa"/>
            <w:tcBorders>
              <w:top w:val="single" w:sz="12" w:space="0" w:color="auto"/>
            </w:tcBorders>
            <w:vAlign w:val="center"/>
          </w:tcPr>
          <w:p w:rsidR="009C53F7" w:rsidRPr="00D376A5" w:rsidRDefault="009C53F7" w:rsidP="009C53F7">
            <w:pPr>
              <w:jc w:val="center"/>
              <w:rPr>
                <w:sz w:val="20"/>
                <w:szCs w:val="20"/>
              </w:rPr>
            </w:pPr>
            <w:r>
              <w:rPr>
                <w:sz w:val="20"/>
                <w:szCs w:val="20"/>
              </w:rPr>
              <w:t>Nē</w:t>
            </w:r>
          </w:p>
        </w:tc>
        <w:tc>
          <w:tcPr>
            <w:tcW w:w="1976" w:type="dxa"/>
            <w:tcBorders>
              <w:top w:val="single" w:sz="12" w:space="0" w:color="auto"/>
            </w:tcBorders>
            <w:vAlign w:val="center"/>
          </w:tcPr>
          <w:p w:rsidR="009C53F7" w:rsidRPr="00D376A5" w:rsidRDefault="009C53F7" w:rsidP="007276E5">
            <w:pPr>
              <w:jc w:val="center"/>
              <w:rPr>
                <w:sz w:val="20"/>
                <w:szCs w:val="20"/>
              </w:rPr>
            </w:pPr>
            <w:r>
              <w:rPr>
                <w:sz w:val="20"/>
                <w:szCs w:val="20"/>
              </w:rPr>
              <w:t>Jā</w:t>
            </w:r>
          </w:p>
        </w:tc>
        <w:tc>
          <w:tcPr>
            <w:tcW w:w="1976" w:type="dxa"/>
            <w:tcBorders>
              <w:top w:val="single" w:sz="12" w:space="0" w:color="auto"/>
            </w:tcBorders>
            <w:vAlign w:val="center"/>
          </w:tcPr>
          <w:p w:rsidR="009C53F7" w:rsidRPr="00D376A5" w:rsidRDefault="009C53F7" w:rsidP="009C53F7">
            <w:pPr>
              <w:jc w:val="center"/>
              <w:rPr>
                <w:sz w:val="20"/>
                <w:szCs w:val="20"/>
              </w:rPr>
            </w:pPr>
            <w:r>
              <w:rPr>
                <w:sz w:val="20"/>
                <w:szCs w:val="20"/>
              </w:rPr>
              <w:t>Jā</w:t>
            </w:r>
          </w:p>
        </w:tc>
      </w:tr>
      <w:tr w:rsidR="009C53F7" w:rsidRPr="00D376A5" w:rsidTr="00126D56">
        <w:tc>
          <w:tcPr>
            <w:tcW w:w="2758" w:type="dxa"/>
            <w:vAlign w:val="center"/>
          </w:tcPr>
          <w:p w:rsidR="009C53F7" w:rsidRPr="00D376A5" w:rsidRDefault="009C53F7" w:rsidP="009C53F7">
            <w:pPr>
              <w:rPr>
                <w:sz w:val="20"/>
                <w:szCs w:val="20"/>
              </w:rPr>
            </w:pPr>
            <w:r>
              <w:rPr>
                <w:sz w:val="20"/>
                <w:szCs w:val="20"/>
              </w:rPr>
              <w:t>Iespējā ievadīt individuālos vērt</w:t>
            </w:r>
            <w:r w:rsidR="002F6B12">
              <w:rPr>
                <w:sz w:val="20"/>
                <w:szCs w:val="20"/>
              </w:rPr>
              <w:t>ējumus</w:t>
            </w:r>
          </w:p>
        </w:tc>
        <w:tc>
          <w:tcPr>
            <w:tcW w:w="2268" w:type="dxa"/>
            <w:vAlign w:val="center"/>
          </w:tcPr>
          <w:p w:rsidR="009C53F7" w:rsidRPr="00D376A5" w:rsidRDefault="009C53F7" w:rsidP="009C53F7">
            <w:pPr>
              <w:jc w:val="center"/>
              <w:rPr>
                <w:sz w:val="20"/>
                <w:szCs w:val="20"/>
              </w:rPr>
            </w:pPr>
            <w:r>
              <w:rPr>
                <w:sz w:val="20"/>
                <w:szCs w:val="20"/>
              </w:rPr>
              <w:t>Nē</w:t>
            </w:r>
          </w:p>
        </w:tc>
        <w:tc>
          <w:tcPr>
            <w:tcW w:w="1976" w:type="dxa"/>
            <w:vAlign w:val="center"/>
          </w:tcPr>
          <w:p w:rsidR="009C53F7" w:rsidRPr="00D376A5" w:rsidRDefault="009C53F7" w:rsidP="007276E5">
            <w:pPr>
              <w:jc w:val="center"/>
              <w:rPr>
                <w:sz w:val="20"/>
                <w:szCs w:val="20"/>
              </w:rPr>
            </w:pPr>
            <w:r>
              <w:rPr>
                <w:sz w:val="20"/>
                <w:szCs w:val="20"/>
              </w:rPr>
              <w:t>J</w:t>
            </w:r>
            <w:r w:rsidR="007276E5">
              <w:rPr>
                <w:sz w:val="20"/>
                <w:szCs w:val="20"/>
              </w:rPr>
              <w:t>ā</w:t>
            </w:r>
          </w:p>
        </w:tc>
        <w:tc>
          <w:tcPr>
            <w:tcW w:w="1976" w:type="dxa"/>
            <w:vAlign w:val="center"/>
          </w:tcPr>
          <w:p w:rsidR="009C53F7" w:rsidRPr="00D376A5" w:rsidRDefault="009C53F7" w:rsidP="009C53F7">
            <w:pPr>
              <w:jc w:val="center"/>
              <w:rPr>
                <w:sz w:val="20"/>
                <w:szCs w:val="20"/>
              </w:rPr>
            </w:pPr>
            <w:r>
              <w:rPr>
                <w:sz w:val="20"/>
                <w:szCs w:val="20"/>
              </w:rPr>
              <w:t>Jā</w:t>
            </w:r>
          </w:p>
        </w:tc>
      </w:tr>
      <w:tr w:rsidR="009C53F7" w:rsidRPr="00D376A5" w:rsidTr="00126D56">
        <w:tc>
          <w:tcPr>
            <w:tcW w:w="2758" w:type="dxa"/>
            <w:vAlign w:val="center"/>
          </w:tcPr>
          <w:p w:rsidR="009C53F7" w:rsidRPr="00D376A5" w:rsidRDefault="009C53F7" w:rsidP="009F188D">
            <w:pPr>
              <w:rPr>
                <w:sz w:val="20"/>
                <w:szCs w:val="20"/>
              </w:rPr>
            </w:pPr>
            <w:r>
              <w:rPr>
                <w:sz w:val="20"/>
                <w:szCs w:val="20"/>
              </w:rPr>
              <w:t xml:space="preserve">Komisijas sēžu </w:t>
            </w:r>
            <w:r w:rsidR="009F188D">
              <w:rPr>
                <w:sz w:val="20"/>
                <w:szCs w:val="20"/>
              </w:rPr>
              <w:t xml:space="preserve">protokolu pievienošana </w:t>
            </w:r>
            <w:r>
              <w:rPr>
                <w:sz w:val="20"/>
                <w:szCs w:val="20"/>
              </w:rPr>
              <w:t>ir obligāta</w:t>
            </w:r>
          </w:p>
        </w:tc>
        <w:tc>
          <w:tcPr>
            <w:tcW w:w="2268" w:type="dxa"/>
            <w:vAlign w:val="center"/>
          </w:tcPr>
          <w:p w:rsidR="009C53F7" w:rsidRPr="00D376A5" w:rsidRDefault="009C53F7" w:rsidP="009C53F7">
            <w:pPr>
              <w:jc w:val="center"/>
              <w:rPr>
                <w:sz w:val="20"/>
                <w:szCs w:val="20"/>
              </w:rPr>
            </w:pPr>
            <w:r>
              <w:rPr>
                <w:sz w:val="20"/>
                <w:szCs w:val="20"/>
              </w:rPr>
              <w:t>Nē</w:t>
            </w:r>
          </w:p>
        </w:tc>
        <w:tc>
          <w:tcPr>
            <w:tcW w:w="1976" w:type="dxa"/>
            <w:vAlign w:val="center"/>
          </w:tcPr>
          <w:p w:rsidR="009C53F7" w:rsidRPr="00D376A5" w:rsidRDefault="009C53F7" w:rsidP="009C53F7">
            <w:pPr>
              <w:jc w:val="center"/>
              <w:rPr>
                <w:sz w:val="20"/>
                <w:szCs w:val="20"/>
              </w:rPr>
            </w:pPr>
            <w:r>
              <w:rPr>
                <w:sz w:val="20"/>
                <w:szCs w:val="20"/>
              </w:rPr>
              <w:t>Jā</w:t>
            </w:r>
          </w:p>
        </w:tc>
        <w:tc>
          <w:tcPr>
            <w:tcW w:w="1976" w:type="dxa"/>
            <w:vAlign w:val="center"/>
          </w:tcPr>
          <w:p w:rsidR="009C53F7" w:rsidRPr="00D376A5" w:rsidRDefault="009C53F7" w:rsidP="009C53F7">
            <w:pPr>
              <w:jc w:val="center"/>
              <w:rPr>
                <w:sz w:val="20"/>
                <w:szCs w:val="20"/>
              </w:rPr>
            </w:pPr>
            <w:r>
              <w:rPr>
                <w:sz w:val="20"/>
                <w:szCs w:val="20"/>
              </w:rPr>
              <w:t>Jā</w:t>
            </w:r>
          </w:p>
        </w:tc>
      </w:tr>
      <w:tr w:rsidR="009C53F7" w:rsidRPr="00D376A5" w:rsidTr="00126D56">
        <w:tc>
          <w:tcPr>
            <w:tcW w:w="2758" w:type="dxa"/>
            <w:vAlign w:val="center"/>
          </w:tcPr>
          <w:p w:rsidR="009C53F7" w:rsidRPr="00D376A5" w:rsidRDefault="002F6B12" w:rsidP="009C53F7">
            <w:pPr>
              <w:rPr>
                <w:sz w:val="20"/>
                <w:szCs w:val="20"/>
              </w:rPr>
            </w:pPr>
            <w:r>
              <w:rPr>
                <w:sz w:val="20"/>
                <w:szCs w:val="20"/>
              </w:rPr>
              <w:t>Rezultātu ievadi var veikt</w:t>
            </w:r>
            <w:r w:rsidR="009C53F7">
              <w:rPr>
                <w:sz w:val="20"/>
                <w:szCs w:val="20"/>
              </w:rPr>
              <w:t xml:space="preserve"> 1 komisijas loceklis</w:t>
            </w:r>
          </w:p>
        </w:tc>
        <w:tc>
          <w:tcPr>
            <w:tcW w:w="2268" w:type="dxa"/>
            <w:vAlign w:val="center"/>
          </w:tcPr>
          <w:p w:rsidR="009C53F7" w:rsidRPr="00D376A5" w:rsidRDefault="009C53F7" w:rsidP="009C53F7">
            <w:pPr>
              <w:jc w:val="center"/>
              <w:rPr>
                <w:sz w:val="20"/>
                <w:szCs w:val="20"/>
              </w:rPr>
            </w:pPr>
            <w:r>
              <w:rPr>
                <w:sz w:val="20"/>
                <w:szCs w:val="20"/>
              </w:rPr>
              <w:t>Jā</w:t>
            </w:r>
          </w:p>
        </w:tc>
        <w:tc>
          <w:tcPr>
            <w:tcW w:w="1976" w:type="dxa"/>
            <w:vAlign w:val="center"/>
          </w:tcPr>
          <w:p w:rsidR="009C53F7" w:rsidRPr="00D376A5" w:rsidRDefault="009C53F7" w:rsidP="009C53F7">
            <w:pPr>
              <w:jc w:val="center"/>
              <w:rPr>
                <w:sz w:val="20"/>
                <w:szCs w:val="20"/>
              </w:rPr>
            </w:pPr>
            <w:r>
              <w:rPr>
                <w:sz w:val="20"/>
                <w:szCs w:val="20"/>
              </w:rPr>
              <w:t>Jā</w:t>
            </w:r>
          </w:p>
        </w:tc>
        <w:tc>
          <w:tcPr>
            <w:tcW w:w="1976" w:type="dxa"/>
            <w:vAlign w:val="center"/>
          </w:tcPr>
          <w:p w:rsidR="009C53F7" w:rsidRPr="00D376A5" w:rsidRDefault="009C53F7" w:rsidP="009C53F7">
            <w:pPr>
              <w:jc w:val="center"/>
              <w:rPr>
                <w:sz w:val="20"/>
                <w:szCs w:val="20"/>
              </w:rPr>
            </w:pPr>
            <w:r>
              <w:rPr>
                <w:sz w:val="20"/>
                <w:szCs w:val="20"/>
              </w:rPr>
              <w:t>Nē</w:t>
            </w:r>
          </w:p>
        </w:tc>
      </w:tr>
    </w:tbl>
    <w:p w:rsidR="00ED1CFD" w:rsidRDefault="00ED1CFD" w:rsidP="00ED1CFD">
      <w:pPr>
        <w:pStyle w:val="Heading1"/>
        <w:keepNext w:val="0"/>
        <w:ind w:left="567" w:hanging="567"/>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I</w:t>
      </w:r>
      <w:r>
        <w:rPr>
          <w:rFonts w:ascii="Times New Roman" w:hAnsi="Times New Roman" w:cs="Times New Roman"/>
          <w:b/>
          <w:sz w:val="24"/>
          <w:szCs w:val="24"/>
        </w:rPr>
        <w:t>I]</w:t>
      </w:r>
      <w:r>
        <w:rPr>
          <w:rFonts w:ascii="Times New Roman" w:hAnsi="Times New Roman" w:cs="Times New Roman"/>
          <w:b/>
          <w:sz w:val="24"/>
          <w:szCs w:val="24"/>
        </w:rPr>
        <w:tab/>
      </w:r>
      <w:r>
        <w:rPr>
          <w:rFonts w:ascii="Times New Roman" w:hAnsi="Times New Roman" w:cs="Times New Roman"/>
          <w:b/>
          <w:sz w:val="24"/>
          <w:szCs w:val="24"/>
        </w:rPr>
        <w:t>Iepirkuma rezultātu ievadīšana</w:t>
      </w:r>
    </w:p>
    <w:p w:rsidR="00ED1CFD" w:rsidRPr="007D0715" w:rsidRDefault="00ED1CFD" w:rsidP="00ED1CFD">
      <w:pPr>
        <w:pStyle w:val="Heading2"/>
        <w:keepNext w:val="0"/>
        <w:numPr>
          <w:ilvl w:val="0"/>
          <w:numId w:val="1"/>
        </w:numPr>
        <w:ind w:left="851" w:hanging="284"/>
        <w:rPr>
          <w:rFonts w:ascii="Times New Roman" w:hAnsi="Times New Roman" w:cs="Times New Roman"/>
          <w:b/>
          <w:color w:val="auto"/>
          <w:sz w:val="24"/>
          <w:szCs w:val="24"/>
        </w:rPr>
      </w:pPr>
      <w:r>
        <w:rPr>
          <w:rFonts w:ascii="Times New Roman" w:hAnsi="Times New Roman" w:cs="Times New Roman"/>
          <w:b/>
          <w:color w:val="auto"/>
          <w:sz w:val="24"/>
          <w:szCs w:val="24"/>
        </w:rPr>
        <w:t>Iepirkuma (daļas) pārtraukšana vai izbeigšana</w:t>
      </w:r>
    </w:p>
    <w:p w:rsidR="00ED1CFD" w:rsidRPr="00147C31" w:rsidRDefault="00ED1CFD" w:rsidP="00ED1CFD">
      <w:pPr>
        <w:pStyle w:val="Heading3"/>
        <w:keepNext w:val="0"/>
        <w:numPr>
          <w:ilvl w:val="1"/>
          <w:numId w:val="1"/>
        </w:numPr>
        <w:spacing w:before="60" w:after="60"/>
        <w:ind w:left="1276" w:hanging="425"/>
        <w:jc w:val="both"/>
        <w:rPr>
          <w:rFonts w:ascii="Times New Roman" w:hAnsi="Times New Roman" w:cs="Times New Roman"/>
          <w:color w:val="000000" w:themeColor="text1"/>
        </w:rPr>
      </w:pPr>
      <w:bookmarkStart w:id="1" w:name="_Ref20228981"/>
      <w:r>
        <w:rPr>
          <w:rFonts w:ascii="Times New Roman" w:hAnsi="Times New Roman" w:cs="Times New Roman"/>
          <w:color w:val="auto"/>
        </w:rPr>
        <w:t>Ja iepirkuma komisija ir paņēmusī lēmumu pārtraukt vai izbeigt iepirkumu vai tā daļu, attiecīgā darbība būtu veicama pirms ir uzsākta rezultātu ievadīšana par citām daļām;</w:t>
      </w:r>
    </w:p>
    <w:p w:rsidR="00ED1CFD" w:rsidRDefault="00ED1CFD" w:rsidP="00ED1CFD">
      <w:pPr>
        <w:pStyle w:val="Heading3"/>
        <w:keepNext w:val="0"/>
        <w:numPr>
          <w:ilvl w:val="1"/>
          <w:numId w:val="1"/>
        </w:numPr>
        <w:spacing w:before="60" w:after="60"/>
        <w:ind w:left="1276" w:hanging="425"/>
        <w:jc w:val="both"/>
        <w:rPr>
          <w:rFonts w:ascii="Times New Roman" w:hAnsi="Times New Roman" w:cs="Times New Roman"/>
          <w:color w:val="000000" w:themeColor="text1"/>
        </w:rPr>
      </w:pPr>
      <w:r>
        <w:rPr>
          <w:rFonts w:ascii="Times New Roman" w:hAnsi="Times New Roman" w:cs="Times New Roman"/>
          <w:color w:val="000000" w:themeColor="text1"/>
        </w:rPr>
        <w:t>Darbība ir veicama izvēloties attiecīgo spiedpogu rindā “Iepirkuma pārtraukšana un izbeigšana”;</w:t>
      </w:r>
    </w:p>
    <w:p w:rsidR="00ED1CFD" w:rsidRDefault="00ED1CFD" w:rsidP="00ED1CFD">
      <w:pPr>
        <w:ind w:left="1276"/>
      </w:pPr>
      <w:r w:rsidRPr="00147C31">
        <w:rPr>
          <w:noProof/>
          <w:lang w:eastAsia="lv-LV"/>
        </w:rPr>
        <w:drawing>
          <wp:inline distT="0" distB="0" distL="0" distR="0" wp14:anchorId="4D48F9D5" wp14:editId="03A5520D">
            <wp:extent cx="5253555" cy="1087562"/>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54019" cy="1108359"/>
                    </a:xfrm>
                    <a:prstGeom prst="rect">
                      <a:avLst/>
                    </a:prstGeom>
                  </pic:spPr>
                </pic:pic>
              </a:graphicData>
            </a:graphic>
          </wp:inline>
        </w:drawing>
      </w:r>
    </w:p>
    <w:p w:rsidR="00ED1CFD" w:rsidRDefault="00ED1CFD" w:rsidP="00ED1CFD">
      <w:pPr>
        <w:pStyle w:val="Heading3"/>
        <w:keepNext w:val="0"/>
        <w:numPr>
          <w:ilvl w:val="1"/>
          <w:numId w:val="1"/>
        </w:numPr>
        <w:spacing w:before="60" w:after="60"/>
        <w:ind w:left="1276" w:hanging="425"/>
        <w:jc w:val="both"/>
      </w:pPr>
      <w:r>
        <w:rPr>
          <w:rFonts w:ascii="Times New Roman" w:hAnsi="Times New Roman" w:cs="Times New Roman"/>
          <w:color w:val="auto"/>
        </w:rPr>
        <w:t>Izpildot jebkuru no šīm darbībām</w:t>
      </w:r>
      <w:r w:rsidRPr="00147C31">
        <w:rPr>
          <w:rFonts w:ascii="Times New Roman" w:hAnsi="Times New Roman" w:cs="Times New Roman"/>
          <w:color w:val="auto"/>
        </w:rPr>
        <w:t xml:space="preserve"> lietotājam ir jāaizvēlas iepirkuma daļas kuras nepieciešams pārtraukt</w:t>
      </w:r>
      <w:r>
        <w:rPr>
          <w:rFonts w:ascii="Times New Roman" w:hAnsi="Times New Roman" w:cs="Times New Roman"/>
          <w:color w:val="auto"/>
        </w:rPr>
        <w:t>/izbeigt</w:t>
      </w:r>
      <w:r w:rsidRPr="00147C31">
        <w:rPr>
          <w:rFonts w:ascii="Times New Roman" w:hAnsi="Times New Roman" w:cs="Times New Roman"/>
          <w:color w:val="auto"/>
        </w:rPr>
        <w:t xml:space="preserve"> (ja iepirkums ir sadalīts daļās), jā</w:t>
      </w:r>
      <w:r>
        <w:rPr>
          <w:rFonts w:ascii="Times New Roman" w:hAnsi="Times New Roman" w:cs="Times New Roman"/>
          <w:color w:val="auto"/>
        </w:rPr>
        <w:t>norāda</w:t>
      </w:r>
      <w:r w:rsidRPr="00147C31">
        <w:rPr>
          <w:rFonts w:ascii="Times New Roman" w:hAnsi="Times New Roman" w:cs="Times New Roman"/>
          <w:color w:val="auto"/>
        </w:rPr>
        <w:t xml:space="preserve"> pārtraukšanas</w:t>
      </w:r>
      <w:r>
        <w:rPr>
          <w:rFonts w:ascii="Times New Roman" w:hAnsi="Times New Roman" w:cs="Times New Roman"/>
          <w:color w:val="auto"/>
        </w:rPr>
        <w:t>/izbeigšanas</w:t>
      </w:r>
      <w:r w:rsidRPr="00147C31">
        <w:rPr>
          <w:rFonts w:ascii="Times New Roman" w:hAnsi="Times New Roman" w:cs="Times New Roman"/>
          <w:color w:val="auto"/>
        </w:rPr>
        <w:t xml:space="preserve"> pamatojums</w:t>
      </w:r>
      <w:r>
        <w:rPr>
          <w:rFonts w:ascii="Times New Roman" w:hAnsi="Times New Roman" w:cs="Times New Roman"/>
          <w:color w:val="auto"/>
        </w:rPr>
        <w:t>,</w:t>
      </w:r>
      <w:r w:rsidRPr="00147C31">
        <w:rPr>
          <w:rFonts w:ascii="Times New Roman" w:hAnsi="Times New Roman" w:cs="Times New Roman"/>
          <w:color w:val="auto"/>
        </w:rPr>
        <w:t xml:space="preserve"> kā arī attiecīgā iepirkuma komisijas lēmuma pieņemšanas datums;</w:t>
      </w:r>
    </w:p>
    <w:p w:rsidR="00ED1CFD" w:rsidRPr="00147C31" w:rsidRDefault="00ED1CFD" w:rsidP="00ED1CFD">
      <w:pPr>
        <w:ind w:left="1276"/>
      </w:pPr>
      <w:r>
        <w:rPr>
          <w:noProof/>
          <w:lang w:eastAsia="lv-LV"/>
        </w:rPr>
        <w:lastRenderedPageBreak/>
        <w:drawing>
          <wp:inline distT="0" distB="0" distL="0" distR="0" wp14:anchorId="78495EE3" wp14:editId="31CA2413">
            <wp:extent cx="5220997" cy="2278667"/>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44485" cy="2288918"/>
                    </a:xfrm>
                    <a:prstGeom prst="rect">
                      <a:avLst/>
                    </a:prstGeom>
                  </pic:spPr>
                </pic:pic>
              </a:graphicData>
            </a:graphic>
          </wp:inline>
        </w:drawing>
      </w:r>
    </w:p>
    <w:p w:rsidR="00ED1CFD" w:rsidRDefault="00ED1CFD" w:rsidP="00ED1CFD">
      <w:pPr>
        <w:pStyle w:val="Heading3"/>
        <w:keepNext w:val="0"/>
        <w:numPr>
          <w:ilvl w:val="1"/>
          <w:numId w:val="1"/>
        </w:numPr>
        <w:spacing w:before="60" w:after="60"/>
        <w:ind w:left="1276" w:hanging="425"/>
        <w:jc w:val="both"/>
        <w:rPr>
          <w:rFonts w:ascii="Times New Roman" w:hAnsi="Times New Roman" w:cs="Times New Roman"/>
          <w:color w:val="auto"/>
        </w:rPr>
      </w:pPr>
      <w:r>
        <w:rPr>
          <w:rFonts w:ascii="Times New Roman" w:hAnsi="Times New Roman" w:cs="Times New Roman"/>
          <w:color w:val="auto"/>
        </w:rPr>
        <w:t>Pēc darbības apstiprināšanas iepirkuma (vai izvēlētās daļas) statuss tiks mainīts uz “Pārtraukts” vai “Izbeigts”.</w:t>
      </w:r>
    </w:p>
    <w:p w:rsidR="00ED1CFD" w:rsidRPr="007D0715" w:rsidRDefault="00ED1CFD" w:rsidP="00ED1CFD">
      <w:pPr>
        <w:pStyle w:val="Heading2"/>
        <w:keepNext w:val="0"/>
        <w:numPr>
          <w:ilvl w:val="0"/>
          <w:numId w:val="1"/>
        </w:numPr>
        <w:ind w:left="851" w:hanging="284"/>
        <w:rPr>
          <w:rFonts w:ascii="Times New Roman" w:hAnsi="Times New Roman" w:cs="Times New Roman"/>
          <w:b/>
          <w:color w:val="auto"/>
          <w:sz w:val="24"/>
          <w:szCs w:val="24"/>
        </w:rPr>
      </w:pPr>
      <w:r>
        <w:rPr>
          <w:rFonts w:ascii="Times New Roman" w:hAnsi="Times New Roman" w:cs="Times New Roman"/>
          <w:b/>
          <w:color w:val="auto"/>
          <w:sz w:val="24"/>
          <w:szCs w:val="24"/>
        </w:rPr>
        <w:t>Iepirkuma uzvarētāja norādīšana</w:t>
      </w:r>
    </w:p>
    <w:bookmarkEnd w:id="1"/>
    <w:p w:rsidR="00ED1CFD" w:rsidRDefault="00ED1CFD" w:rsidP="00ED1CFD">
      <w:pPr>
        <w:pStyle w:val="Heading3"/>
        <w:keepNext w:val="0"/>
        <w:numPr>
          <w:ilvl w:val="1"/>
          <w:numId w:val="1"/>
        </w:numPr>
        <w:spacing w:before="60" w:after="60"/>
        <w:ind w:left="1276" w:hanging="425"/>
        <w:jc w:val="both"/>
        <w:rPr>
          <w:rFonts w:ascii="Times New Roman" w:hAnsi="Times New Roman" w:cs="Times New Roman"/>
          <w:color w:val="auto"/>
        </w:rPr>
      </w:pPr>
      <w:r>
        <w:rPr>
          <w:rFonts w:ascii="Times New Roman" w:hAnsi="Times New Roman" w:cs="Times New Roman"/>
          <w:color w:val="auto"/>
        </w:rPr>
        <w:t>Lai norādītu pretendentu(s), kuram ir piešķirtas līguma slēgšanas tiesības ir jāveic vairākas secīgas darbības:</w:t>
      </w:r>
    </w:p>
    <w:p w:rsidR="00ED1CFD" w:rsidRDefault="00ED1CFD" w:rsidP="00ED1CFD">
      <w:pPr>
        <w:pStyle w:val="Heading3"/>
        <w:keepNext w:val="0"/>
        <w:numPr>
          <w:ilvl w:val="2"/>
          <w:numId w:val="1"/>
        </w:numPr>
        <w:spacing w:before="60" w:after="60"/>
        <w:ind w:left="1988"/>
        <w:jc w:val="both"/>
        <w:rPr>
          <w:rFonts w:ascii="Times New Roman" w:hAnsi="Times New Roman" w:cs="Times New Roman"/>
          <w:color w:val="auto"/>
        </w:rPr>
      </w:pPr>
      <w:r>
        <w:rPr>
          <w:rFonts w:ascii="Times New Roman" w:hAnsi="Times New Roman" w:cs="Times New Roman"/>
          <w:color w:val="auto"/>
        </w:rPr>
        <w:t xml:space="preserve">Jāizvēlas darbība </w:t>
      </w:r>
      <w:r w:rsidRPr="009E44FA">
        <w:rPr>
          <w:rFonts w:ascii="Times New Roman" w:hAnsi="Times New Roman" w:cs="Times New Roman"/>
          <w:i/>
          <w:color w:val="000000" w:themeColor="text1"/>
        </w:rPr>
        <w:t>Ievadīt rezultātus</w:t>
      </w:r>
      <w:r>
        <w:rPr>
          <w:rFonts w:ascii="Times New Roman" w:hAnsi="Times New Roman" w:cs="Times New Roman"/>
          <w:color w:val="000000" w:themeColor="text1"/>
        </w:rPr>
        <w:t xml:space="preserve"> spiedpogu rindā “Iepirkuma vai tā posma rezultātu norādīšana”;</w:t>
      </w:r>
    </w:p>
    <w:p w:rsidR="00ED1CFD" w:rsidRPr="007D0715" w:rsidRDefault="00ED1CFD" w:rsidP="00ED1CFD">
      <w:pPr>
        <w:pStyle w:val="Heading3"/>
        <w:keepNext w:val="0"/>
        <w:spacing w:before="60" w:after="60"/>
        <w:ind w:left="1985"/>
        <w:jc w:val="both"/>
        <w:rPr>
          <w:rFonts w:ascii="Times New Roman" w:hAnsi="Times New Roman" w:cs="Times New Roman"/>
          <w:color w:val="auto"/>
        </w:rPr>
      </w:pPr>
      <w:r w:rsidRPr="00A33FDC">
        <w:rPr>
          <w:rFonts w:ascii="Times New Roman" w:hAnsi="Times New Roman" w:cs="Times New Roman"/>
          <w:noProof/>
          <w:color w:val="auto"/>
          <w:lang w:eastAsia="lv-LV"/>
        </w:rPr>
        <w:drawing>
          <wp:inline distT="0" distB="0" distL="0" distR="0" wp14:anchorId="32D6BF40" wp14:editId="7373C5A0">
            <wp:extent cx="4795575" cy="992754"/>
            <wp:effectExtent l="0" t="0" r="508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17539" cy="1018002"/>
                    </a:xfrm>
                    <a:prstGeom prst="rect">
                      <a:avLst/>
                    </a:prstGeom>
                  </pic:spPr>
                </pic:pic>
              </a:graphicData>
            </a:graphic>
          </wp:inline>
        </w:drawing>
      </w:r>
    </w:p>
    <w:p w:rsidR="00ED1CFD" w:rsidRDefault="00ED1CFD" w:rsidP="00ED1CFD">
      <w:pPr>
        <w:pStyle w:val="Heading3"/>
        <w:keepNext w:val="0"/>
        <w:numPr>
          <w:ilvl w:val="2"/>
          <w:numId w:val="1"/>
        </w:numPr>
        <w:spacing w:before="60" w:after="60"/>
        <w:ind w:left="1988"/>
        <w:jc w:val="both"/>
        <w:rPr>
          <w:rFonts w:ascii="Times New Roman" w:hAnsi="Times New Roman" w:cs="Times New Roman"/>
          <w:color w:val="auto"/>
        </w:rPr>
      </w:pPr>
      <w:r>
        <w:rPr>
          <w:rFonts w:ascii="Times New Roman" w:hAnsi="Times New Roman" w:cs="Times New Roman"/>
          <w:color w:val="auto"/>
        </w:rPr>
        <w:t xml:space="preserve">Jāapstiprina sava izvēlē, ka arī jānorāda iepirkuma daļas (ja iepirkums ir sadalīts daļās), par kurām tiks ievadīts rezultāts un jāizvēlas darbība </w:t>
      </w:r>
      <w:r w:rsidRPr="002E000E">
        <w:rPr>
          <w:rFonts w:ascii="Times New Roman" w:hAnsi="Times New Roman" w:cs="Times New Roman"/>
          <w:i/>
          <w:color w:val="auto"/>
        </w:rPr>
        <w:t>Iniciēt vērtēšanas rezultātu ievadi</w:t>
      </w:r>
      <w:r>
        <w:rPr>
          <w:rFonts w:ascii="Times New Roman" w:hAnsi="Times New Roman" w:cs="Times New Roman"/>
          <w:color w:val="auto"/>
        </w:rPr>
        <w:t>;</w:t>
      </w:r>
    </w:p>
    <w:p w:rsidR="00ED1CFD" w:rsidRPr="000800B7" w:rsidRDefault="00ED1CFD" w:rsidP="00ED1CFD">
      <w:pPr>
        <w:ind w:left="1985"/>
      </w:pPr>
      <w:r w:rsidRPr="000800B7">
        <w:rPr>
          <w:noProof/>
          <w:lang w:eastAsia="lv-LV"/>
        </w:rPr>
        <w:drawing>
          <wp:inline distT="0" distB="0" distL="0" distR="0" wp14:anchorId="3B7180FD" wp14:editId="0C6E391D">
            <wp:extent cx="4795520" cy="2356707"/>
            <wp:effectExtent l="0" t="0" r="508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22417" cy="2369925"/>
                    </a:xfrm>
                    <a:prstGeom prst="rect">
                      <a:avLst/>
                    </a:prstGeom>
                  </pic:spPr>
                </pic:pic>
              </a:graphicData>
            </a:graphic>
          </wp:inline>
        </w:drawing>
      </w:r>
    </w:p>
    <w:p w:rsidR="00ED1CFD" w:rsidRDefault="00ED1CFD" w:rsidP="00ED1CFD">
      <w:pPr>
        <w:pStyle w:val="Heading3"/>
        <w:numPr>
          <w:ilvl w:val="2"/>
          <w:numId w:val="1"/>
        </w:numPr>
        <w:spacing w:before="60" w:after="60"/>
        <w:ind w:left="1990"/>
        <w:jc w:val="both"/>
        <w:rPr>
          <w:rFonts w:ascii="Times New Roman" w:hAnsi="Times New Roman" w:cs="Times New Roman"/>
          <w:color w:val="auto"/>
        </w:rPr>
      </w:pPr>
      <w:r>
        <w:rPr>
          <w:rFonts w:ascii="Times New Roman" w:hAnsi="Times New Roman" w:cs="Times New Roman"/>
          <w:color w:val="auto"/>
        </w:rPr>
        <w:lastRenderedPageBreak/>
        <w:t xml:space="preserve">Pēc augstāk noradīto darbību veikšanas attiecīgai iepirkuma daļai tiek aktivizēta iespēja </w:t>
      </w:r>
      <w:r w:rsidRPr="00E90E61">
        <w:rPr>
          <w:rFonts w:ascii="Times New Roman" w:hAnsi="Times New Roman" w:cs="Times New Roman"/>
          <w:i/>
          <w:color w:val="auto"/>
        </w:rPr>
        <w:t>Piešķirt līguma slēgšanas tiesības</w:t>
      </w:r>
      <w:r>
        <w:rPr>
          <w:rFonts w:ascii="Times New Roman" w:hAnsi="Times New Roman" w:cs="Times New Roman"/>
          <w:color w:val="auto"/>
        </w:rPr>
        <w:t xml:space="preserve">. Papildus, ja izsludinot iepirkumu kā piedāvājumu izvēlēs metode ir norādītā </w:t>
      </w:r>
      <w:r w:rsidRPr="00E90E61">
        <w:rPr>
          <w:rFonts w:ascii="Times New Roman" w:hAnsi="Times New Roman" w:cs="Times New Roman"/>
          <w:i/>
          <w:color w:val="auto"/>
        </w:rPr>
        <w:t>Saimnieciskā izdevīguma vērtēšana</w:t>
      </w:r>
      <w:r>
        <w:rPr>
          <w:rFonts w:ascii="Times New Roman" w:hAnsi="Times New Roman" w:cs="Times New Roman"/>
          <w:color w:val="auto"/>
        </w:rPr>
        <w:t>, šajā posmā ir iespēja pretendentiem norādīto piešķirto punktu skaitu (nav obligāti veicamā darbība);</w:t>
      </w:r>
    </w:p>
    <w:p w:rsidR="00ED1CFD" w:rsidRPr="00E90E61" w:rsidRDefault="00ED1CFD" w:rsidP="00ED1CFD">
      <w:pPr>
        <w:ind w:left="1985"/>
      </w:pPr>
      <w:r w:rsidRPr="00CC170E">
        <w:rPr>
          <w:noProof/>
          <w:lang w:eastAsia="lv-LV"/>
        </w:rPr>
        <w:drawing>
          <wp:inline distT="0" distB="0" distL="0" distR="0" wp14:anchorId="7B91C0C8" wp14:editId="219DC227">
            <wp:extent cx="4934751" cy="19335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6364" cy="1938100"/>
                    </a:xfrm>
                    <a:prstGeom prst="rect">
                      <a:avLst/>
                    </a:prstGeom>
                  </pic:spPr>
                </pic:pic>
              </a:graphicData>
            </a:graphic>
          </wp:inline>
        </w:drawing>
      </w:r>
    </w:p>
    <w:p w:rsidR="00ED1CFD" w:rsidRPr="0097274A" w:rsidRDefault="00ED1CFD" w:rsidP="00ED1CFD">
      <w:pPr>
        <w:pStyle w:val="Heading3"/>
        <w:keepNext w:val="0"/>
        <w:numPr>
          <w:ilvl w:val="2"/>
          <w:numId w:val="1"/>
        </w:numPr>
        <w:spacing w:before="60" w:after="60"/>
        <w:ind w:left="1985"/>
        <w:jc w:val="both"/>
      </w:pPr>
      <w:r w:rsidRPr="0097274A">
        <w:rPr>
          <w:rFonts w:ascii="Times New Roman" w:hAnsi="Times New Roman" w:cs="Times New Roman"/>
          <w:color w:val="auto"/>
        </w:rPr>
        <w:t xml:space="preserve">Izvēloties darbību </w:t>
      </w:r>
      <w:r w:rsidRPr="0097274A">
        <w:rPr>
          <w:rFonts w:ascii="Times New Roman" w:hAnsi="Times New Roman" w:cs="Times New Roman"/>
          <w:i/>
          <w:color w:val="auto"/>
        </w:rPr>
        <w:t>Piešķirt līguma slēgšanas tiesības</w:t>
      </w:r>
      <w:r w:rsidRPr="0097274A">
        <w:rPr>
          <w:rFonts w:ascii="Times New Roman" w:hAnsi="Times New Roman" w:cs="Times New Roman"/>
          <w:color w:val="auto"/>
        </w:rPr>
        <w:t xml:space="preserve">, ir nepieciešams izvēlēties vismaz vienu pretendentu, kuram tiek piešķirtas līguma slēgšanas tiesības. Pēc pretendentu norādīšanas </w:t>
      </w:r>
      <w:r>
        <w:rPr>
          <w:rFonts w:ascii="Times New Roman" w:hAnsi="Times New Roman" w:cs="Times New Roman"/>
          <w:color w:val="auto"/>
        </w:rPr>
        <w:t>ievadītā informācija</w:t>
      </w:r>
      <w:r w:rsidRPr="0097274A">
        <w:rPr>
          <w:rFonts w:ascii="Times New Roman" w:hAnsi="Times New Roman" w:cs="Times New Roman"/>
          <w:color w:val="auto"/>
        </w:rPr>
        <w:t xml:space="preserve"> ir jāsaglab</w:t>
      </w:r>
      <w:r>
        <w:rPr>
          <w:rFonts w:ascii="Times New Roman" w:hAnsi="Times New Roman" w:cs="Times New Roman"/>
          <w:color w:val="auto"/>
        </w:rPr>
        <w:t xml:space="preserve">ā, izvēloties darbību </w:t>
      </w:r>
      <w:r w:rsidRPr="002E000E">
        <w:rPr>
          <w:rFonts w:ascii="Times New Roman" w:hAnsi="Times New Roman" w:cs="Times New Roman"/>
          <w:i/>
          <w:color w:val="auto"/>
        </w:rPr>
        <w:t>Saglabāt</w:t>
      </w:r>
      <w:r>
        <w:rPr>
          <w:rFonts w:ascii="Times New Roman" w:hAnsi="Times New Roman" w:cs="Times New Roman"/>
          <w:color w:val="auto"/>
        </w:rPr>
        <w:t>;</w:t>
      </w:r>
      <w:r w:rsidRPr="0097274A">
        <w:rPr>
          <w:rFonts w:ascii="Times New Roman" w:hAnsi="Times New Roman" w:cs="Times New Roman"/>
          <w:color w:val="auto"/>
        </w:rPr>
        <w:t xml:space="preserve"> </w:t>
      </w:r>
    </w:p>
    <w:p w:rsidR="00ED1CFD" w:rsidRPr="00CC170E" w:rsidRDefault="00ED1CFD" w:rsidP="00ED1CFD">
      <w:pPr>
        <w:pStyle w:val="Heading3"/>
        <w:keepNext w:val="0"/>
        <w:spacing w:before="60" w:after="60"/>
        <w:ind w:left="1985"/>
        <w:jc w:val="both"/>
      </w:pPr>
      <w:r w:rsidRPr="00CC170E">
        <w:rPr>
          <w:noProof/>
          <w:lang w:eastAsia="lv-LV"/>
        </w:rPr>
        <w:drawing>
          <wp:inline distT="0" distB="0" distL="0" distR="0" wp14:anchorId="3C2E11A2" wp14:editId="4E6747EC">
            <wp:extent cx="4920615" cy="2146546"/>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37610" cy="2153960"/>
                    </a:xfrm>
                    <a:prstGeom prst="rect">
                      <a:avLst/>
                    </a:prstGeom>
                  </pic:spPr>
                </pic:pic>
              </a:graphicData>
            </a:graphic>
          </wp:inline>
        </w:drawing>
      </w:r>
    </w:p>
    <w:p w:rsidR="00ED1CFD" w:rsidRDefault="00ED1CFD" w:rsidP="00ED1CFD">
      <w:pPr>
        <w:pStyle w:val="Heading3"/>
        <w:keepNext w:val="0"/>
        <w:numPr>
          <w:ilvl w:val="2"/>
          <w:numId w:val="1"/>
        </w:numPr>
        <w:spacing w:before="60" w:after="60"/>
        <w:ind w:left="1985"/>
        <w:jc w:val="both"/>
        <w:rPr>
          <w:rFonts w:ascii="Times New Roman" w:hAnsi="Times New Roman" w:cs="Times New Roman"/>
          <w:color w:val="auto"/>
        </w:rPr>
      </w:pPr>
      <w:r>
        <w:rPr>
          <w:rFonts w:ascii="Times New Roman" w:hAnsi="Times New Roman" w:cs="Times New Roman"/>
          <w:color w:val="auto"/>
        </w:rPr>
        <w:t xml:space="preserve">Kad pretendents ir izvēlēts līguma slēgšanas tiesību piešķiršanai, kolonā “Rezultāts” parādās attiecīgā atzīme. Ievadīto rezultātu apstiprināšanai ir jāveic darbība “Apstiprināt rezultātus”. Kamēr rezultāti nav apstiprināti lietotājs var veikt precizējumus ievadītājā informācijā, šajā gadījumā darbība </w:t>
      </w:r>
      <w:r w:rsidRPr="00E90E61">
        <w:rPr>
          <w:rFonts w:ascii="Times New Roman" w:hAnsi="Times New Roman" w:cs="Times New Roman"/>
          <w:i/>
          <w:color w:val="auto"/>
        </w:rPr>
        <w:t>Piešķirt līguma slēgšanas tiesības</w:t>
      </w:r>
      <w:r>
        <w:rPr>
          <w:rFonts w:ascii="Times New Roman" w:hAnsi="Times New Roman" w:cs="Times New Roman"/>
          <w:i/>
          <w:color w:val="auto"/>
        </w:rPr>
        <w:t xml:space="preserve"> </w:t>
      </w:r>
      <w:r w:rsidRPr="009E44FA">
        <w:rPr>
          <w:rFonts w:ascii="Times New Roman" w:hAnsi="Times New Roman" w:cs="Times New Roman"/>
          <w:color w:val="auto"/>
        </w:rPr>
        <w:t xml:space="preserve">ir </w:t>
      </w:r>
      <w:r>
        <w:rPr>
          <w:rFonts w:ascii="Times New Roman" w:hAnsi="Times New Roman" w:cs="Times New Roman"/>
          <w:color w:val="auto"/>
        </w:rPr>
        <w:t xml:space="preserve">jāveic </w:t>
      </w:r>
      <w:r w:rsidRPr="009E44FA">
        <w:rPr>
          <w:rFonts w:ascii="Times New Roman" w:hAnsi="Times New Roman" w:cs="Times New Roman"/>
          <w:color w:val="auto"/>
        </w:rPr>
        <w:t>atkārtoti</w:t>
      </w:r>
      <w:r>
        <w:rPr>
          <w:rFonts w:ascii="Times New Roman" w:hAnsi="Times New Roman" w:cs="Times New Roman"/>
          <w:color w:val="auto"/>
        </w:rPr>
        <w:t>;</w:t>
      </w:r>
    </w:p>
    <w:p w:rsidR="00ED1CFD" w:rsidRPr="0097274A" w:rsidRDefault="00ED1CFD" w:rsidP="00ED1CFD">
      <w:pPr>
        <w:ind w:left="1985"/>
      </w:pPr>
      <w:r w:rsidRPr="0097274A">
        <w:rPr>
          <w:noProof/>
          <w:lang w:eastAsia="lv-LV"/>
        </w:rPr>
        <w:drawing>
          <wp:inline distT="0" distB="0" distL="0" distR="0" wp14:anchorId="6B3EFAEE" wp14:editId="6A2D6043">
            <wp:extent cx="4914639" cy="2433605"/>
            <wp:effectExtent l="0" t="0" r="635"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26868" cy="2439661"/>
                    </a:xfrm>
                    <a:prstGeom prst="rect">
                      <a:avLst/>
                    </a:prstGeom>
                  </pic:spPr>
                </pic:pic>
              </a:graphicData>
            </a:graphic>
          </wp:inline>
        </w:drawing>
      </w:r>
    </w:p>
    <w:p w:rsidR="00ED1CFD" w:rsidRDefault="00ED1CFD" w:rsidP="00ED1CFD">
      <w:pPr>
        <w:pStyle w:val="Heading3"/>
        <w:keepNext w:val="0"/>
        <w:numPr>
          <w:ilvl w:val="2"/>
          <w:numId w:val="1"/>
        </w:numPr>
        <w:spacing w:before="60" w:after="60"/>
        <w:ind w:left="1985"/>
        <w:jc w:val="both"/>
        <w:rPr>
          <w:rFonts w:ascii="Times New Roman" w:hAnsi="Times New Roman" w:cs="Times New Roman"/>
          <w:color w:val="auto"/>
        </w:rPr>
      </w:pPr>
      <w:r>
        <w:rPr>
          <w:rFonts w:ascii="Times New Roman" w:hAnsi="Times New Roman" w:cs="Times New Roman"/>
          <w:color w:val="auto"/>
        </w:rPr>
        <w:lastRenderedPageBreak/>
        <w:t xml:space="preserve">Lai apstiprinātu ievadītos rezultātus, lietotājam ir jāatzīmē tās iepirkuma daļas, kurām rezultāts ir ievadīts (ja iepirkums ir sadalīts daļās) un </w:t>
      </w:r>
      <w:r w:rsidRPr="00147C31">
        <w:rPr>
          <w:rFonts w:ascii="Times New Roman" w:hAnsi="Times New Roman" w:cs="Times New Roman"/>
          <w:color w:val="auto"/>
        </w:rPr>
        <w:t>jāievada attiecīgā iepirkuma komisijas lēmuma pieņemšanas datums</w:t>
      </w:r>
      <w:r>
        <w:rPr>
          <w:rFonts w:ascii="Times New Roman" w:hAnsi="Times New Roman" w:cs="Times New Roman"/>
          <w:color w:val="auto"/>
        </w:rPr>
        <w:t>. Lūdzu ņemt vērā, ka visām atzīmētām iepirkuma daļām tiks pamērots viens lēmuma pieņemšanas datums. Līdz ar to, ja iepirkuma daļām lēmumi ir pieņemti dažādos datumos, tām rezultātu apstiprināšana jāveic atsevišķi;</w:t>
      </w:r>
    </w:p>
    <w:p w:rsidR="00ED1CFD" w:rsidRDefault="00ED1CFD" w:rsidP="00ED1CFD">
      <w:pPr>
        <w:ind w:left="1985"/>
      </w:pPr>
      <w:r w:rsidRPr="00B2179D">
        <w:rPr>
          <w:noProof/>
          <w:lang w:eastAsia="lv-LV"/>
        </w:rPr>
        <w:drawing>
          <wp:inline distT="0" distB="0" distL="0" distR="0" wp14:anchorId="69D2E871" wp14:editId="5B2C2BCA">
            <wp:extent cx="4937760" cy="2778099"/>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55995" cy="2788358"/>
                    </a:xfrm>
                    <a:prstGeom prst="rect">
                      <a:avLst/>
                    </a:prstGeom>
                  </pic:spPr>
                </pic:pic>
              </a:graphicData>
            </a:graphic>
          </wp:inline>
        </w:drawing>
      </w:r>
    </w:p>
    <w:p w:rsidR="00ED1CFD" w:rsidRDefault="00ED1CFD" w:rsidP="00ED1CFD">
      <w:pPr>
        <w:pStyle w:val="Heading3"/>
        <w:keepNext w:val="0"/>
        <w:numPr>
          <w:ilvl w:val="2"/>
          <w:numId w:val="1"/>
        </w:numPr>
        <w:spacing w:before="60" w:after="60"/>
        <w:ind w:left="1985"/>
        <w:jc w:val="both"/>
        <w:rPr>
          <w:rFonts w:ascii="Times New Roman" w:hAnsi="Times New Roman" w:cs="Times New Roman"/>
          <w:color w:val="auto"/>
        </w:rPr>
      </w:pPr>
      <w:r>
        <w:rPr>
          <w:rFonts w:ascii="Times New Roman" w:hAnsi="Times New Roman" w:cs="Times New Roman"/>
          <w:color w:val="auto"/>
        </w:rPr>
        <w:t xml:space="preserve">Pēc rezultātu apstiprināšanas sistēmā tiek mainīti attiecīgās iepirkuma daļas un tajā iesniegto piedāvājumu statusi. Daļas statuss tiek mainīts uz “Līgums piešķirts”, piedāvājumu statuss tiek manīts uz “Novērtēts (piešķirts līgums)” vai “Novērtēts (nav piešķirts līgums)”. </w:t>
      </w:r>
    </w:p>
    <w:p w:rsidR="00ED1CFD" w:rsidRDefault="00ED1CFD" w:rsidP="00ED1CFD">
      <w:pPr>
        <w:ind w:left="1985"/>
      </w:pPr>
      <w:r w:rsidRPr="00B2179D">
        <w:rPr>
          <w:noProof/>
          <w:lang w:eastAsia="lv-LV"/>
        </w:rPr>
        <w:drawing>
          <wp:inline distT="0" distB="0" distL="0" distR="0" wp14:anchorId="4898BE12" wp14:editId="26C0A2A4">
            <wp:extent cx="4990410" cy="2053230"/>
            <wp:effectExtent l="0" t="0" r="1270"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06568" cy="2059878"/>
                    </a:xfrm>
                    <a:prstGeom prst="rect">
                      <a:avLst/>
                    </a:prstGeom>
                  </pic:spPr>
                </pic:pic>
              </a:graphicData>
            </a:graphic>
          </wp:inline>
        </w:drawing>
      </w:r>
    </w:p>
    <w:p w:rsidR="00ED1CFD" w:rsidRDefault="00ED1CFD" w:rsidP="00ED1CFD">
      <w:pPr>
        <w:pStyle w:val="Heading1"/>
        <w:keepNext w:val="0"/>
        <w:ind w:left="567" w:hanging="567"/>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I</w:t>
      </w:r>
      <w:r>
        <w:rPr>
          <w:rFonts w:ascii="Times New Roman" w:hAnsi="Times New Roman" w:cs="Times New Roman"/>
          <w:b/>
          <w:sz w:val="24"/>
          <w:szCs w:val="24"/>
        </w:rPr>
        <w:t>I]</w:t>
      </w:r>
      <w:r>
        <w:rPr>
          <w:rFonts w:ascii="Times New Roman" w:hAnsi="Times New Roman" w:cs="Times New Roman"/>
          <w:b/>
          <w:sz w:val="24"/>
          <w:szCs w:val="24"/>
        </w:rPr>
        <w:tab/>
        <w:t xml:space="preserve">Iepirkuma rezultātu </w:t>
      </w:r>
      <w:r>
        <w:rPr>
          <w:rFonts w:ascii="Times New Roman" w:hAnsi="Times New Roman" w:cs="Times New Roman"/>
          <w:b/>
          <w:sz w:val="24"/>
          <w:szCs w:val="24"/>
        </w:rPr>
        <w:t>labošana</w:t>
      </w:r>
    </w:p>
    <w:p w:rsidR="00ED1CFD" w:rsidRPr="007D0715" w:rsidRDefault="00ED1CFD" w:rsidP="00ED1CFD">
      <w:pPr>
        <w:pStyle w:val="Heading2"/>
        <w:keepNext w:val="0"/>
        <w:numPr>
          <w:ilvl w:val="0"/>
          <w:numId w:val="1"/>
        </w:numPr>
        <w:ind w:left="851" w:hanging="284"/>
        <w:rPr>
          <w:rFonts w:ascii="Times New Roman" w:hAnsi="Times New Roman" w:cs="Times New Roman"/>
          <w:b/>
          <w:color w:val="auto"/>
          <w:sz w:val="24"/>
          <w:szCs w:val="24"/>
        </w:rPr>
      </w:pPr>
      <w:r>
        <w:rPr>
          <w:rFonts w:ascii="Times New Roman" w:hAnsi="Times New Roman" w:cs="Times New Roman"/>
          <w:b/>
          <w:color w:val="auto"/>
          <w:sz w:val="24"/>
          <w:szCs w:val="24"/>
        </w:rPr>
        <w:t>Ievadīto rezultātu labošana</w:t>
      </w:r>
    </w:p>
    <w:p w:rsidR="00ED1CFD" w:rsidRDefault="00ED1CFD" w:rsidP="00ED1CFD">
      <w:pPr>
        <w:pStyle w:val="Heading3"/>
        <w:keepNext w:val="0"/>
        <w:numPr>
          <w:ilvl w:val="1"/>
          <w:numId w:val="1"/>
        </w:numPr>
        <w:spacing w:before="60" w:after="60"/>
        <w:ind w:left="1276" w:hanging="425"/>
        <w:jc w:val="both"/>
        <w:rPr>
          <w:rFonts w:ascii="Times New Roman" w:hAnsi="Times New Roman" w:cs="Times New Roman"/>
          <w:color w:val="auto"/>
        </w:rPr>
      </w:pPr>
      <w:r>
        <w:rPr>
          <w:rFonts w:ascii="Times New Roman" w:hAnsi="Times New Roman" w:cs="Times New Roman"/>
          <w:color w:val="auto"/>
        </w:rPr>
        <w:t>Nepieciešamības gadījumā, lietotājs var veikt apstiprināto rezultātu precizēšanu, tas ir iespējams i</w:t>
      </w:r>
      <w:r w:rsidRPr="0097274A">
        <w:rPr>
          <w:rFonts w:ascii="Times New Roman" w:hAnsi="Times New Roman" w:cs="Times New Roman"/>
          <w:color w:val="auto"/>
        </w:rPr>
        <w:t xml:space="preserve">zvēloties darbību </w:t>
      </w:r>
      <w:r>
        <w:rPr>
          <w:rFonts w:ascii="Times New Roman" w:hAnsi="Times New Roman" w:cs="Times New Roman"/>
          <w:i/>
          <w:color w:val="auto"/>
        </w:rPr>
        <w:t>Ievadīt rezultātus atkārtoti</w:t>
      </w:r>
      <w:r>
        <w:rPr>
          <w:rFonts w:ascii="Times New Roman" w:hAnsi="Times New Roman" w:cs="Times New Roman"/>
          <w:color w:val="auto"/>
        </w:rPr>
        <w:t>. Šāda iespēja ir pieejama tikai noteiktos gadījumos (citādi attiecīgā darbība nav pieejama):</w:t>
      </w:r>
    </w:p>
    <w:p w:rsidR="00ED1CFD" w:rsidRDefault="00ED1CFD" w:rsidP="00ED1CFD">
      <w:pPr>
        <w:pStyle w:val="Heading3"/>
        <w:keepNext w:val="0"/>
        <w:numPr>
          <w:ilvl w:val="2"/>
          <w:numId w:val="1"/>
        </w:numPr>
        <w:spacing w:before="60" w:after="60"/>
        <w:ind w:left="1985"/>
        <w:jc w:val="both"/>
        <w:rPr>
          <w:rFonts w:ascii="Times New Roman" w:hAnsi="Times New Roman" w:cs="Times New Roman"/>
          <w:color w:val="auto"/>
        </w:rPr>
      </w:pPr>
      <w:r w:rsidRPr="00BF4E6B">
        <w:rPr>
          <w:rFonts w:ascii="Times New Roman" w:hAnsi="Times New Roman" w:cs="Times New Roman"/>
          <w:color w:val="auto"/>
        </w:rPr>
        <w:t>Iepirkumam vai tā daļai ir pieņemts lēmums, t.i. daļai</w:t>
      </w:r>
      <w:r>
        <w:rPr>
          <w:rFonts w:ascii="Times New Roman" w:hAnsi="Times New Roman" w:cs="Times New Roman"/>
          <w:color w:val="auto"/>
        </w:rPr>
        <w:t xml:space="preserve">, kuras rezultātus nepieciešams labot, ir </w:t>
      </w:r>
      <w:r w:rsidRPr="00BF4E6B">
        <w:rPr>
          <w:rFonts w:ascii="Times New Roman" w:hAnsi="Times New Roman" w:cs="Times New Roman"/>
          <w:color w:val="auto"/>
        </w:rPr>
        <w:t>piešķirts</w:t>
      </w:r>
      <w:r>
        <w:rPr>
          <w:rFonts w:ascii="Times New Roman" w:hAnsi="Times New Roman" w:cs="Times New Roman"/>
          <w:color w:val="auto"/>
        </w:rPr>
        <w:t xml:space="preserve"> daļas</w:t>
      </w:r>
      <w:r w:rsidRPr="00BF4E6B">
        <w:rPr>
          <w:rFonts w:ascii="Times New Roman" w:hAnsi="Times New Roman" w:cs="Times New Roman"/>
          <w:color w:val="auto"/>
        </w:rPr>
        <w:t xml:space="preserve"> </w:t>
      </w:r>
      <w:r>
        <w:rPr>
          <w:rFonts w:ascii="Times New Roman" w:hAnsi="Times New Roman" w:cs="Times New Roman"/>
          <w:color w:val="auto"/>
        </w:rPr>
        <w:t>statuss “Līgums piešķirts” vai</w:t>
      </w:r>
      <w:r w:rsidRPr="00BF4E6B">
        <w:rPr>
          <w:rFonts w:ascii="Times New Roman" w:hAnsi="Times New Roman" w:cs="Times New Roman"/>
          <w:color w:val="auto"/>
        </w:rPr>
        <w:t xml:space="preserve"> </w:t>
      </w:r>
      <w:r>
        <w:rPr>
          <w:rFonts w:ascii="Times New Roman" w:hAnsi="Times New Roman" w:cs="Times New Roman"/>
          <w:color w:val="auto"/>
        </w:rPr>
        <w:t>“</w:t>
      </w:r>
      <w:r w:rsidRPr="00BF4E6B">
        <w:rPr>
          <w:rFonts w:ascii="Times New Roman" w:hAnsi="Times New Roman" w:cs="Times New Roman"/>
          <w:color w:val="auto"/>
        </w:rPr>
        <w:t>Izbeigta bez rezultāta</w:t>
      </w:r>
      <w:r>
        <w:rPr>
          <w:rFonts w:ascii="Times New Roman" w:hAnsi="Times New Roman" w:cs="Times New Roman"/>
          <w:color w:val="auto"/>
        </w:rPr>
        <w:t>”;</w:t>
      </w:r>
    </w:p>
    <w:p w:rsidR="00ED1CFD" w:rsidRDefault="00ED1CFD" w:rsidP="00ED1CFD">
      <w:pPr>
        <w:pStyle w:val="Heading3"/>
        <w:keepNext w:val="0"/>
        <w:numPr>
          <w:ilvl w:val="2"/>
          <w:numId w:val="1"/>
        </w:numPr>
        <w:spacing w:before="60" w:after="60"/>
        <w:ind w:left="1985"/>
        <w:jc w:val="both"/>
        <w:rPr>
          <w:rFonts w:ascii="Times New Roman" w:hAnsi="Times New Roman" w:cs="Times New Roman"/>
          <w:color w:val="auto"/>
        </w:rPr>
      </w:pPr>
      <w:r>
        <w:rPr>
          <w:rFonts w:ascii="Times New Roman" w:hAnsi="Times New Roman" w:cs="Times New Roman"/>
          <w:color w:val="auto"/>
        </w:rPr>
        <w:t xml:space="preserve">Iepirkumam vēl nav pabeigta vērtēšana, </w:t>
      </w:r>
      <w:r w:rsidRPr="00BF4E6B">
        <w:rPr>
          <w:rFonts w:ascii="Times New Roman" w:hAnsi="Times New Roman" w:cs="Times New Roman"/>
          <w:color w:val="auto"/>
        </w:rPr>
        <w:t xml:space="preserve">t.i. </w:t>
      </w:r>
      <w:r>
        <w:rPr>
          <w:rFonts w:ascii="Times New Roman" w:hAnsi="Times New Roman" w:cs="Times New Roman"/>
          <w:color w:val="auto"/>
        </w:rPr>
        <w:t xml:space="preserve">iepirkumam vēl nav piešķirts statuss “Uzsākta līguma slēgšana”, “Līgums noslēgts”, “Pārtraukts” vai “Noslēgts”. </w:t>
      </w:r>
    </w:p>
    <w:p w:rsidR="00ED1CFD" w:rsidRPr="005E3A84" w:rsidRDefault="00ED1CFD" w:rsidP="00ED1CFD"/>
    <w:p w:rsidR="00ED1CFD" w:rsidRDefault="00ED1CFD" w:rsidP="00ED1CFD">
      <w:pPr>
        <w:ind w:left="1985"/>
      </w:pPr>
      <w:r w:rsidRPr="00B2179D">
        <w:rPr>
          <w:noProof/>
          <w:lang w:eastAsia="lv-LV"/>
        </w:rPr>
        <w:lastRenderedPageBreak/>
        <w:drawing>
          <wp:inline distT="0" distB="0" distL="0" distR="0" wp14:anchorId="472C28D9" wp14:editId="0427DA50">
            <wp:extent cx="4937760" cy="9735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09753" cy="987707"/>
                    </a:xfrm>
                    <a:prstGeom prst="rect">
                      <a:avLst/>
                    </a:prstGeom>
                  </pic:spPr>
                </pic:pic>
              </a:graphicData>
            </a:graphic>
          </wp:inline>
        </w:drawing>
      </w:r>
    </w:p>
    <w:p w:rsidR="00ED1CFD" w:rsidRPr="00126D56" w:rsidRDefault="00ED1CFD" w:rsidP="00126D56">
      <w:pPr>
        <w:pStyle w:val="Heading3"/>
        <w:keepNext w:val="0"/>
        <w:numPr>
          <w:ilvl w:val="2"/>
          <w:numId w:val="1"/>
        </w:numPr>
        <w:spacing w:before="60" w:after="60"/>
        <w:ind w:left="1985"/>
        <w:jc w:val="both"/>
        <w:rPr>
          <w:rFonts w:ascii="Times New Roman" w:hAnsi="Times New Roman" w:cs="Times New Roman"/>
          <w:color w:val="auto"/>
        </w:rPr>
      </w:pPr>
      <w:r w:rsidRPr="00126D56">
        <w:rPr>
          <w:rFonts w:ascii="Times New Roman" w:hAnsi="Times New Roman" w:cs="Times New Roman"/>
          <w:color w:val="auto"/>
        </w:rPr>
        <w:t>Pēc darbības apstiprināšanas izvelētai iepirkuma daļai būs iespēja precizēt pretendentus, kuriem ir piešķiramas līguma slēgšanas tiesības.</w:t>
      </w:r>
    </w:p>
    <w:p w:rsidR="00ED1CFD" w:rsidRDefault="00ED1CFD" w:rsidP="00ED1CFD">
      <w:pPr>
        <w:pStyle w:val="Heading1"/>
        <w:keepNext w:val="0"/>
        <w:ind w:left="567" w:hanging="567"/>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V</w:t>
      </w:r>
      <w:r>
        <w:rPr>
          <w:rFonts w:ascii="Times New Roman" w:hAnsi="Times New Roman" w:cs="Times New Roman"/>
          <w:b/>
          <w:sz w:val="24"/>
          <w:szCs w:val="24"/>
        </w:rPr>
        <w:t>]</w:t>
      </w:r>
      <w:r>
        <w:rPr>
          <w:rFonts w:ascii="Times New Roman" w:hAnsi="Times New Roman" w:cs="Times New Roman"/>
          <w:b/>
          <w:sz w:val="24"/>
          <w:szCs w:val="24"/>
        </w:rPr>
        <w:tab/>
        <w:t>Iepirkuma rezultātu labošana</w:t>
      </w:r>
    </w:p>
    <w:p w:rsidR="00ED1CFD" w:rsidRPr="00847048" w:rsidRDefault="00ED1CFD" w:rsidP="00ED1CFD">
      <w:pPr>
        <w:pStyle w:val="Heading2"/>
        <w:keepNext w:val="0"/>
        <w:numPr>
          <w:ilvl w:val="0"/>
          <w:numId w:val="1"/>
        </w:numPr>
        <w:ind w:left="851" w:hanging="284"/>
        <w:rPr>
          <w:rFonts w:ascii="Times New Roman" w:hAnsi="Times New Roman" w:cs="Times New Roman"/>
          <w:b/>
          <w:color w:val="auto"/>
          <w:sz w:val="24"/>
          <w:szCs w:val="24"/>
        </w:rPr>
      </w:pPr>
      <w:r w:rsidRPr="00847048">
        <w:rPr>
          <w:rFonts w:ascii="Times New Roman" w:hAnsi="Times New Roman" w:cs="Times New Roman"/>
          <w:b/>
          <w:color w:val="auto"/>
          <w:sz w:val="24"/>
          <w:szCs w:val="24"/>
        </w:rPr>
        <w:t>Vērtēšanas pabeigšana un Līguma piešķiršana</w:t>
      </w:r>
    </w:p>
    <w:p w:rsidR="00ED1CFD" w:rsidRDefault="00ED1CFD" w:rsidP="00ED1CFD">
      <w:pPr>
        <w:pStyle w:val="Heading3"/>
        <w:keepNext w:val="0"/>
        <w:numPr>
          <w:ilvl w:val="1"/>
          <w:numId w:val="1"/>
        </w:numPr>
        <w:spacing w:before="60" w:after="60"/>
        <w:ind w:left="1276" w:hanging="425"/>
        <w:jc w:val="both"/>
        <w:rPr>
          <w:rFonts w:ascii="Times New Roman" w:hAnsi="Times New Roman" w:cs="Times New Roman"/>
          <w:color w:val="auto"/>
        </w:rPr>
      </w:pPr>
      <w:r>
        <w:rPr>
          <w:rFonts w:ascii="Times New Roman" w:hAnsi="Times New Roman" w:cs="Times New Roman"/>
          <w:color w:val="auto"/>
        </w:rPr>
        <w:t>Pēc tam kad daļai ir piešķirts statuss “Līgums piešķirts” tai var pievienot noslēgto līgumu. Līguma pievienošana ir jāveic šķirkļa “Dokumenti” izvēršamajā blokā “Līgumi”, izvēloties pluszīmes ikonu;</w:t>
      </w:r>
    </w:p>
    <w:p w:rsidR="00ED1CFD" w:rsidRDefault="00ED1CFD" w:rsidP="00ED1CFD">
      <w:pPr>
        <w:pStyle w:val="Heading3"/>
        <w:keepNext w:val="0"/>
        <w:spacing w:before="60" w:after="60"/>
        <w:ind w:left="1985"/>
        <w:jc w:val="both"/>
      </w:pPr>
      <w:r w:rsidRPr="00D837D9">
        <w:rPr>
          <w:noProof/>
          <w:lang w:eastAsia="lv-LV"/>
        </w:rPr>
        <w:drawing>
          <wp:inline distT="0" distB="0" distL="0" distR="0" wp14:anchorId="07EEDB80" wp14:editId="716765F5">
            <wp:extent cx="3592286" cy="1018708"/>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48600" cy="1034678"/>
                    </a:xfrm>
                    <a:prstGeom prst="rect">
                      <a:avLst/>
                    </a:prstGeom>
                  </pic:spPr>
                </pic:pic>
              </a:graphicData>
            </a:graphic>
          </wp:inline>
        </w:drawing>
      </w:r>
    </w:p>
    <w:p w:rsidR="00ED1CFD" w:rsidRDefault="00ED1CFD" w:rsidP="00ED1CFD">
      <w:pPr>
        <w:pStyle w:val="Heading3"/>
        <w:numPr>
          <w:ilvl w:val="1"/>
          <w:numId w:val="1"/>
        </w:numPr>
        <w:spacing w:before="60" w:after="60"/>
        <w:ind w:left="1276" w:hanging="425"/>
        <w:jc w:val="both"/>
        <w:rPr>
          <w:rFonts w:ascii="Times New Roman" w:hAnsi="Times New Roman" w:cs="Times New Roman"/>
          <w:color w:val="auto"/>
        </w:rPr>
      </w:pPr>
      <w:r>
        <w:rPr>
          <w:rFonts w:ascii="Times New Roman" w:hAnsi="Times New Roman" w:cs="Times New Roman"/>
          <w:color w:val="auto"/>
        </w:rPr>
        <w:t xml:space="preserve">Kad līgumi ir noslēgti par visām iepirkuma daļām, šķirklī “Pamatdati” ir nepieciešams secīgi izpildīt darbības </w:t>
      </w:r>
      <w:r w:rsidRPr="00D374A1">
        <w:rPr>
          <w:rFonts w:ascii="Times New Roman" w:hAnsi="Times New Roman" w:cs="Times New Roman"/>
          <w:i/>
          <w:color w:val="auto"/>
        </w:rPr>
        <w:t>Pabeigt vērtēšanu</w:t>
      </w:r>
      <w:r>
        <w:rPr>
          <w:rFonts w:ascii="Times New Roman" w:hAnsi="Times New Roman" w:cs="Times New Roman"/>
          <w:color w:val="auto"/>
        </w:rPr>
        <w:t xml:space="preserve"> un </w:t>
      </w:r>
      <w:r w:rsidRPr="00D374A1">
        <w:rPr>
          <w:rFonts w:ascii="Times New Roman" w:hAnsi="Times New Roman" w:cs="Times New Roman"/>
          <w:i/>
          <w:color w:val="auto"/>
        </w:rPr>
        <w:t>Noslēgt līgumu</w:t>
      </w:r>
      <w:r>
        <w:rPr>
          <w:rFonts w:ascii="Times New Roman" w:hAnsi="Times New Roman" w:cs="Times New Roman"/>
          <w:color w:val="auto"/>
        </w:rPr>
        <w:t>.</w:t>
      </w:r>
    </w:p>
    <w:p w:rsidR="00ED1CFD" w:rsidRDefault="00ED1CFD" w:rsidP="00ED1CFD">
      <w:pPr>
        <w:ind w:left="1276"/>
      </w:pPr>
      <w:r>
        <w:rPr>
          <w:noProof/>
          <w:lang w:eastAsia="lv-LV"/>
        </w:rPr>
        <w:drawing>
          <wp:inline distT="0" distB="0" distL="0" distR="0" wp14:anchorId="26BF6B81" wp14:editId="188C0550">
            <wp:extent cx="2471214" cy="427643"/>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4015"/>
                    <a:stretch/>
                  </pic:blipFill>
                  <pic:spPr bwMode="auto">
                    <a:xfrm>
                      <a:off x="0" y="0"/>
                      <a:ext cx="2490753" cy="431024"/>
                    </a:xfrm>
                    <a:prstGeom prst="rect">
                      <a:avLst/>
                    </a:prstGeom>
                    <a:ln>
                      <a:noFill/>
                    </a:ln>
                    <a:extLst>
                      <a:ext uri="{53640926-AAD7-44D8-BBD7-CCE9431645EC}">
                        <a14:shadowObscured xmlns:a14="http://schemas.microsoft.com/office/drawing/2010/main"/>
                      </a:ext>
                    </a:extLst>
                  </pic:spPr>
                </pic:pic>
              </a:graphicData>
            </a:graphic>
          </wp:inline>
        </w:drawing>
      </w:r>
    </w:p>
    <w:p w:rsidR="00ED1CFD" w:rsidRPr="00D07308" w:rsidRDefault="00ED1CFD" w:rsidP="00ED1CFD">
      <w:pPr>
        <w:ind w:left="1276"/>
        <w:jc w:val="both"/>
      </w:pPr>
      <w:r>
        <w:t xml:space="preserve">Pēc šo darbību izpildīšanas iepirkuma statuss tika mainīts uz “Līgums noslēgts”. Jāņem vērā, ka pēc darbības </w:t>
      </w:r>
      <w:r w:rsidRPr="00D374A1">
        <w:rPr>
          <w:rFonts w:cs="Times New Roman"/>
          <w:i/>
        </w:rPr>
        <w:t>Pabeigt vērtēšanu</w:t>
      </w:r>
      <w:r>
        <w:rPr>
          <w:rFonts w:cs="Times New Roman"/>
          <w:i/>
        </w:rPr>
        <w:t xml:space="preserve"> </w:t>
      </w:r>
      <w:r w:rsidRPr="00D07308">
        <w:rPr>
          <w:rFonts w:cs="Times New Roman"/>
        </w:rPr>
        <w:t>izpildīšanas</w:t>
      </w:r>
      <w:r>
        <w:rPr>
          <w:rFonts w:cs="Times New Roman"/>
          <w:i/>
        </w:rPr>
        <w:t xml:space="preserve"> </w:t>
      </w:r>
      <w:r>
        <w:rPr>
          <w:rFonts w:cs="Times New Roman"/>
        </w:rPr>
        <w:t xml:space="preserve">veikt labojumus ievadītajos iepirkuma rezultātos  </w:t>
      </w:r>
      <w:r w:rsidRPr="006C70F5">
        <w:rPr>
          <w:rFonts w:cs="Times New Roman"/>
          <w:b/>
          <w:u w:val="single"/>
        </w:rPr>
        <w:t>nebūs iespēja</w:t>
      </w:r>
      <w:r>
        <w:rPr>
          <w:rFonts w:cs="Times New Roman"/>
          <w:b/>
          <w:u w:val="single"/>
        </w:rPr>
        <w:t>ms</w:t>
      </w:r>
      <w:r>
        <w:rPr>
          <w:rFonts w:cs="Times New Roman"/>
        </w:rPr>
        <w:t>.</w:t>
      </w:r>
    </w:p>
    <w:p w:rsidR="003609CA" w:rsidRDefault="003609CA"/>
    <w:sectPr w:rsidR="003609CA" w:rsidSect="00D01CD5">
      <w:footerReference w:type="default" r:id="rId18"/>
      <w:pgSz w:w="11906" w:h="16838"/>
      <w:pgMar w:top="1134" w:right="851" w:bottom="1134" w:left="1418" w:header="709" w:footer="2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484429529"/>
      <w:docPartObj>
        <w:docPartGallery w:val="Page Numbers (Bottom of Page)"/>
        <w:docPartUnique/>
      </w:docPartObj>
    </w:sdtPr>
    <w:sdtEndPr/>
    <w:sdtContent>
      <w:sdt>
        <w:sdtPr>
          <w:rPr>
            <w:sz w:val="22"/>
          </w:rPr>
          <w:id w:val="507577124"/>
          <w:docPartObj>
            <w:docPartGallery w:val="Page Numbers (Top of Page)"/>
            <w:docPartUnique/>
          </w:docPartObj>
        </w:sdtPr>
        <w:sdtEndPr/>
        <w:sdtContent>
          <w:p w:rsidR="00AD2BAD" w:rsidRPr="00837E0E" w:rsidRDefault="00CC242E" w:rsidP="00837E0E">
            <w:pPr>
              <w:rPr>
                <w:sz w:val="22"/>
              </w:rPr>
            </w:pPr>
          </w:p>
          <w:p w:rsidR="00AD2BAD" w:rsidRPr="00837E0E" w:rsidRDefault="00CC242E">
            <w:pPr>
              <w:pStyle w:val="Footer"/>
              <w:jc w:val="right"/>
              <w:rPr>
                <w:sz w:val="22"/>
              </w:rPr>
            </w:pPr>
            <w:r w:rsidRPr="00837E0E">
              <w:rPr>
                <w:bCs/>
                <w:sz w:val="22"/>
              </w:rPr>
              <w:fldChar w:fldCharType="begin"/>
            </w:r>
            <w:r w:rsidRPr="00837E0E">
              <w:rPr>
                <w:bCs/>
                <w:sz w:val="22"/>
              </w:rPr>
              <w:instrText xml:space="preserve"> PAGE </w:instrText>
            </w:r>
            <w:r w:rsidRPr="00837E0E">
              <w:rPr>
                <w:bCs/>
                <w:sz w:val="22"/>
              </w:rPr>
              <w:fldChar w:fldCharType="separate"/>
            </w:r>
            <w:r>
              <w:rPr>
                <w:bCs/>
                <w:noProof/>
                <w:sz w:val="22"/>
              </w:rPr>
              <w:t>1</w:t>
            </w:r>
            <w:r w:rsidRPr="00837E0E">
              <w:rPr>
                <w:bCs/>
                <w:sz w:val="22"/>
              </w:rPr>
              <w:fldChar w:fldCharType="end"/>
            </w:r>
            <w:r w:rsidRPr="00837E0E">
              <w:rPr>
                <w:sz w:val="22"/>
              </w:rPr>
              <w:t xml:space="preserve"> </w:t>
            </w:r>
            <w:r>
              <w:rPr>
                <w:sz w:val="22"/>
              </w:rPr>
              <w:t>-</w:t>
            </w:r>
            <w:r w:rsidRPr="00837E0E">
              <w:rPr>
                <w:sz w:val="22"/>
              </w:rPr>
              <w:t xml:space="preserve"> </w:t>
            </w:r>
            <w:r w:rsidRPr="00837E0E">
              <w:rPr>
                <w:bCs/>
                <w:sz w:val="22"/>
              </w:rPr>
              <w:fldChar w:fldCharType="begin"/>
            </w:r>
            <w:r w:rsidRPr="00837E0E">
              <w:rPr>
                <w:bCs/>
                <w:sz w:val="22"/>
              </w:rPr>
              <w:instrText xml:space="preserve"> NUMPAGES  </w:instrText>
            </w:r>
            <w:r w:rsidRPr="00837E0E">
              <w:rPr>
                <w:bCs/>
                <w:sz w:val="22"/>
              </w:rPr>
              <w:fldChar w:fldCharType="separate"/>
            </w:r>
            <w:r>
              <w:rPr>
                <w:bCs/>
                <w:noProof/>
                <w:sz w:val="22"/>
              </w:rPr>
              <w:t>6</w:t>
            </w:r>
            <w:r w:rsidRPr="00837E0E">
              <w:rPr>
                <w:bCs/>
                <w:sz w:val="22"/>
              </w:rPr>
              <w:fldChar w:fldCharType="end"/>
            </w:r>
          </w:p>
        </w:sdtContent>
      </w:sdt>
    </w:sdtContent>
  </w:sdt>
  <w:p w:rsidR="00AD2BAD" w:rsidRPr="00837E0E" w:rsidRDefault="00CC242E">
    <w:pPr>
      <w:pStyle w:val="Footer"/>
      <w:rPr>
        <w:sz w:val="22"/>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A6A63"/>
    <w:multiLevelType w:val="multilevel"/>
    <w:tmpl w:val="5F8A84CE"/>
    <w:lvl w:ilvl="0">
      <w:start w:val="1"/>
      <w:numFmt w:val="decimal"/>
      <w:lvlText w:val="%1."/>
      <w:lvlJc w:val="left"/>
      <w:pPr>
        <w:ind w:left="4188" w:hanging="360"/>
      </w:pPr>
      <w:rPr>
        <w:rFonts w:hint="default"/>
      </w:rPr>
    </w:lvl>
    <w:lvl w:ilvl="1">
      <w:start w:val="1"/>
      <w:numFmt w:val="decimal"/>
      <w:isLgl/>
      <w:lvlText w:val="%1.%2."/>
      <w:lvlJc w:val="left"/>
      <w:pPr>
        <w:ind w:left="2062" w:hanging="360"/>
      </w:pPr>
      <w:rPr>
        <w:rFonts w:ascii="Times New Roman" w:hAnsi="Times New Roman" w:cs="Times New Roman" w:hint="default"/>
        <w:b w:val="0"/>
        <w:color w:val="000000" w:themeColor="text1"/>
      </w:rPr>
    </w:lvl>
    <w:lvl w:ilvl="2">
      <w:start w:val="1"/>
      <w:numFmt w:val="decimal"/>
      <w:isLgl/>
      <w:lvlText w:val="%1.%2.%3."/>
      <w:lvlJc w:val="left"/>
      <w:pPr>
        <w:ind w:left="2782" w:hanging="720"/>
      </w:pPr>
      <w:rPr>
        <w:rFonts w:ascii="Times New Roman" w:hAnsi="Times New Roman" w:cs="Times New Roman" w:hint="default"/>
        <w:color w:val="000000" w:themeColor="text1"/>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CFD"/>
    <w:rsid w:val="00004E34"/>
    <w:rsid w:val="00126D56"/>
    <w:rsid w:val="00211E18"/>
    <w:rsid w:val="002269CE"/>
    <w:rsid w:val="002F1649"/>
    <w:rsid w:val="002F6B12"/>
    <w:rsid w:val="003609CA"/>
    <w:rsid w:val="007276E5"/>
    <w:rsid w:val="007936D2"/>
    <w:rsid w:val="00861ACB"/>
    <w:rsid w:val="008C4A07"/>
    <w:rsid w:val="00955E88"/>
    <w:rsid w:val="009C53F7"/>
    <w:rsid w:val="009F188D"/>
    <w:rsid w:val="00B36463"/>
    <w:rsid w:val="00BF70F8"/>
    <w:rsid w:val="00CC242E"/>
    <w:rsid w:val="00D376A5"/>
    <w:rsid w:val="00D4255C"/>
    <w:rsid w:val="00EB2826"/>
    <w:rsid w:val="00ED1C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C4E6"/>
  <w15:chartTrackingRefBased/>
  <w15:docId w15:val="{4AFE04EE-B5B2-4B33-BD16-64E7ECC2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CFD"/>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D1C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1CF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D1CF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CF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D1CF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D1CFD"/>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ED1CFD"/>
    <w:pPr>
      <w:tabs>
        <w:tab w:val="center" w:pos="4153"/>
        <w:tab w:val="right" w:pos="8306"/>
      </w:tabs>
    </w:pPr>
  </w:style>
  <w:style w:type="character" w:customStyle="1" w:styleId="FooterChar">
    <w:name w:val="Footer Char"/>
    <w:basedOn w:val="DefaultParagraphFont"/>
    <w:link w:val="Footer"/>
    <w:uiPriority w:val="99"/>
    <w:rsid w:val="00ED1CFD"/>
    <w:rPr>
      <w:rFonts w:ascii="Times New Roman" w:hAnsi="Times New Roman"/>
      <w:sz w:val="24"/>
    </w:rPr>
  </w:style>
  <w:style w:type="paragraph" w:styleId="ListParagraph">
    <w:name w:val="List Paragraph"/>
    <w:basedOn w:val="Normal"/>
    <w:uiPriority w:val="34"/>
    <w:qFormat/>
    <w:rsid w:val="00ED1CFD"/>
    <w:pPr>
      <w:ind w:left="720"/>
      <w:contextualSpacing/>
    </w:pPr>
  </w:style>
  <w:style w:type="character" w:styleId="Hyperlink">
    <w:name w:val="Hyperlink"/>
    <w:basedOn w:val="DefaultParagraphFont"/>
    <w:uiPriority w:val="99"/>
    <w:semiHidden/>
    <w:unhideWhenUsed/>
    <w:rsid w:val="00ED1CFD"/>
    <w:rPr>
      <w:color w:val="0000FF"/>
      <w:u w:val="single"/>
    </w:rPr>
  </w:style>
  <w:style w:type="table" w:styleId="TableGrid">
    <w:name w:val="Table Grid"/>
    <w:basedOn w:val="TableNormal"/>
    <w:uiPriority w:val="39"/>
    <w:rsid w:val="00226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6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9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6</Pages>
  <Words>4880</Words>
  <Characters>2782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VRAA</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Māris Harčenko</dc:creator>
  <cp:keywords/>
  <dc:description/>
  <cp:lastModifiedBy>Māris Harčenko</cp:lastModifiedBy>
  <cp:revision>8</cp:revision>
  <dcterms:created xsi:type="dcterms:W3CDTF">2019-10-04T06:17:00Z</dcterms:created>
  <dcterms:modified xsi:type="dcterms:W3CDTF">2019-10-04T13:10:00Z</dcterms:modified>
</cp:coreProperties>
</file>